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FBF" w:rsidRPr="00773F00" w:rsidRDefault="00373FBF" w:rsidP="00373FBF">
      <w:pPr>
        <w:snapToGrid w:val="0"/>
        <w:spacing w:beforeLines="50" w:before="156" w:afterLines="50" w:after="156" w:line="560" w:lineRule="exact"/>
        <w:jc w:val="center"/>
        <w:rPr>
          <w:rFonts w:ascii="Times New Roman" w:eastAsia="黑体" w:cs="Times New Roman"/>
          <w:b/>
          <w:sz w:val="30"/>
          <w:szCs w:val="30"/>
        </w:rPr>
      </w:pPr>
      <w:r w:rsidRPr="00773F00">
        <w:rPr>
          <w:rFonts w:ascii="Times New Roman" w:eastAsia="黑体" w:cs="Times New Roman"/>
          <w:b/>
          <w:sz w:val="30"/>
          <w:szCs w:val="30"/>
        </w:rPr>
        <w:t>风险揭示书</w:t>
      </w:r>
    </w:p>
    <w:p w:rsidR="00373FBF" w:rsidRDefault="00373FBF" w:rsidP="00373FBF">
      <w:pPr>
        <w:snapToGrid w:val="0"/>
        <w:spacing w:beforeLines="50" w:before="156" w:afterLines="50" w:after="156" w:line="560" w:lineRule="exact"/>
        <w:jc w:val="center"/>
        <w:rPr>
          <w:rFonts w:ascii="Times New Roman" w:eastAsia="仿宋" w:hAnsi="Times New Roman" w:cs="Times New Roman"/>
          <w:b/>
          <w:color w:val="000000"/>
          <w:kern w:val="0"/>
          <w:sz w:val="36"/>
          <w:szCs w:val="36"/>
        </w:rPr>
      </w:pPr>
    </w:p>
    <w:p w:rsidR="00373FBF" w:rsidRPr="00E254D8" w:rsidRDefault="00373FBF" w:rsidP="00373FBF">
      <w:pPr>
        <w:adjustRightInd w:val="0"/>
        <w:snapToGrid w:val="0"/>
        <w:spacing w:line="560" w:lineRule="atLeast"/>
        <w:ind w:firstLineChars="200" w:firstLine="600"/>
        <w:rPr>
          <w:rFonts w:ascii="仿宋" w:eastAsia="仿宋" w:hAnsi="仿宋" w:cs="Times New Roman"/>
          <w:kern w:val="0"/>
          <w:sz w:val="30"/>
          <w:szCs w:val="30"/>
        </w:rPr>
      </w:pPr>
      <w:r w:rsidRPr="00E254D8">
        <w:rPr>
          <w:rFonts w:ascii="仿宋" w:eastAsia="仿宋" w:hAnsi="仿宋" w:cs="Times New Roman" w:hint="eastAsia"/>
          <w:kern w:val="0"/>
          <w:sz w:val="30"/>
          <w:szCs w:val="30"/>
        </w:rPr>
        <w:t>投资者在投资债权融资计划前，应当仔细核对自身是否具备债权融资计划投资者资格，充分了解债权融资计划的特点及风险，审慎评估自身的经济状况和财务能力，考虑是否适合参与。具体包括：</w:t>
      </w:r>
    </w:p>
    <w:p w:rsidR="00373FBF" w:rsidRPr="00E254D8" w:rsidRDefault="00373FBF" w:rsidP="00373FBF">
      <w:pPr>
        <w:adjustRightInd w:val="0"/>
        <w:snapToGrid w:val="0"/>
        <w:spacing w:line="560" w:lineRule="atLeast"/>
        <w:ind w:firstLineChars="200" w:firstLine="600"/>
        <w:rPr>
          <w:rFonts w:ascii="仿宋" w:eastAsia="仿宋" w:hAnsi="仿宋" w:cs="Times New Roman"/>
          <w:kern w:val="0"/>
          <w:sz w:val="30"/>
          <w:szCs w:val="30"/>
        </w:rPr>
      </w:pPr>
      <w:r w:rsidRPr="00E254D8">
        <w:rPr>
          <w:rFonts w:ascii="仿宋" w:eastAsia="仿宋" w:hAnsi="仿宋" w:cs="Times New Roman" w:hint="eastAsia"/>
          <w:kern w:val="0"/>
          <w:sz w:val="30"/>
          <w:szCs w:val="30"/>
        </w:rPr>
        <w:t>一、债权融资计划在北京金融资产交易所（以下简称</w:t>
      </w:r>
      <w:r w:rsidRPr="00E254D8">
        <w:rPr>
          <w:rFonts w:ascii="仿宋" w:eastAsia="仿宋" w:hAnsi="仿宋" w:cs="Times New Roman"/>
          <w:kern w:val="0"/>
          <w:sz w:val="30"/>
          <w:szCs w:val="30"/>
        </w:rPr>
        <w:t>“</w:t>
      </w:r>
      <w:r w:rsidRPr="00E254D8">
        <w:rPr>
          <w:rFonts w:ascii="仿宋" w:eastAsia="仿宋" w:hAnsi="仿宋" w:cs="Times New Roman" w:hint="eastAsia"/>
          <w:kern w:val="0"/>
          <w:sz w:val="30"/>
          <w:szCs w:val="30"/>
        </w:rPr>
        <w:t>北金所”）备案，但北金</w:t>
      </w:r>
      <w:proofErr w:type="gramStart"/>
      <w:r w:rsidRPr="00E254D8">
        <w:rPr>
          <w:rFonts w:ascii="仿宋" w:eastAsia="仿宋" w:hAnsi="仿宋" w:cs="Times New Roman" w:hint="eastAsia"/>
          <w:kern w:val="0"/>
          <w:sz w:val="30"/>
          <w:szCs w:val="30"/>
        </w:rPr>
        <w:t>所并不</w:t>
      </w:r>
      <w:proofErr w:type="gramEnd"/>
      <w:r w:rsidRPr="00E254D8">
        <w:rPr>
          <w:rFonts w:ascii="仿宋" w:eastAsia="仿宋" w:hAnsi="仿宋" w:cs="Times New Roman" w:hint="eastAsia"/>
          <w:kern w:val="0"/>
          <w:sz w:val="30"/>
          <w:szCs w:val="30"/>
        </w:rPr>
        <w:t>对融资人的经营风险、偿债风险、诉讼风险以及债权融资计划的投资风险或收益等</w:t>
      </w:r>
      <w:proofErr w:type="gramStart"/>
      <w:r w:rsidRPr="00E254D8">
        <w:rPr>
          <w:rFonts w:ascii="仿宋" w:eastAsia="仿宋" w:hAnsi="仿宋" w:cs="Times New Roman" w:hint="eastAsia"/>
          <w:kern w:val="0"/>
          <w:sz w:val="30"/>
          <w:szCs w:val="30"/>
        </w:rPr>
        <w:t>作出</w:t>
      </w:r>
      <w:proofErr w:type="gramEnd"/>
      <w:r w:rsidRPr="00E254D8">
        <w:rPr>
          <w:rFonts w:ascii="仿宋" w:eastAsia="仿宋" w:hAnsi="仿宋" w:cs="Times New Roman" w:hint="eastAsia"/>
          <w:kern w:val="0"/>
          <w:sz w:val="30"/>
          <w:szCs w:val="30"/>
        </w:rPr>
        <w:t>判断或保证。</w:t>
      </w:r>
    </w:p>
    <w:p w:rsidR="00373FBF" w:rsidRPr="00E254D8" w:rsidRDefault="00373FBF" w:rsidP="00373FBF">
      <w:pPr>
        <w:adjustRightInd w:val="0"/>
        <w:snapToGrid w:val="0"/>
        <w:spacing w:line="560" w:lineRule="atLeast"/>
        <w:ind w:firstLineChars="200" w:firstLine="600"/>
        <w:rPr>
          <w:rFonts w:ascii="仿宋" w:eastAsia="仿宋" w:hAnsi="仿宋" w:cs="Times New Roman"/>
          <w:kern w:val="0"/>
          <w:sz w:val="30"/>
          <w:szCs w:val="30"/>
        </w:rPr>
      </w:pPr>
      <w:r w:rsidRPr="00E254D8">
        <w:rPr>
          <w:rFonts w:ascii="仿宋" w:eastAsia="仿宋" w:hAnsi="仿宋" w:cs="Times New Roman" w:hint="eastAsia"/>
          <w:kern w:val="0"/>
          <w:sz w:val="30"/>
          <w:szCs w:val="30"/>
        </w:rPr>
        <w:t>二、投资者认购债权融资计划，应当认真阅读募集说明书及有关的信息披露文件，对债权融资计划信息披露的真实性、准确性、完整性和及时性进行独立分析，并据以独立判断投资价值，自行承担投资风险。</w:t>
      </w:r>
    </w:p>
    <w:p w:rsidR="00373FBF" w:rsidRPr="00E254D8" w:rsidRDefault="00373FBF" w:rsidP="00373FBF">
      <w:pPr>
        <w:adjustRightInd w:val="0"/>
        <w:snapToGrid w:val="0"/>
        <w:spacing w:line="560" w:lineRule="atLeast"/>
        <w:ind w:firstLineChars="200" w:firstLine="600"/>
        <w:rPr>
          <w:rFonts w:ascii="仿宋" w:eastAsia="仿宋" w:hAnsi="仿宋" w:cs="Times New Roman"/>
          <w:kern w:val="0"/>
          <w:sz w:val="30"/>
          <w:szCs w:val="30"/>
        </w:rPr>
      </w:pPr>
      <w:r w:rsidRPr="00E254D8">
        <w:rPr>
          <w:rFonts w:ascii="仿宋" w:eastAsia="仿宋" w:hAnsi="仿宋" w:cs="Times New Roman" w:hint="eastAsia"/>
          <w:kern w:val="0"/>
          <w:sz w:val="30"/>
          <w:szCs w:val="30"/>
        </w:rPr>
        <w:t>三、投资者应当详细了解债权融资计划相关规则、指引，充分关注其可能存在的风险。按</w:t>
      </w:r>
      <w:bookmarkStart w:id="0" w:name="_GoBack"/>
      <w:bookmarkEnd w:id="0"/>
      <w:r w:rsidRPr="00E254D8">
        <w:rPr>
          <w:rFonts w:ascii="仿宋" w:eastAsia="仿宋" w:hAnsi="仿宋" w:cs="Times New Roman" w:hint="eastAsia"/>
          <w:kern w:val="0"/>
          <w:sz w:val="30"/>
          <w:szCs w:val="30"/>
        </w:rPr>
        <w:t>照业务规则，北金所对导致每期债权融资计划投资者超过</w:t>
      </w:r>
      <w:r w:rsidRPr="00E254D8">
        <w:rPr>
          <w:rFonts w:ascii="仿宋" w:eastAsia="仿宋" w:hAnsi="仿宋" w:cs="Times New Roman"/>
          <w:kern w:val="0"/>
          <w:sz w:val="30"/>
          <w:szCs w:val="30"/>
        </w:rPr>
        <w:t xml:space="preserve">200 </w:t>
      </w:r>
      <w:r w:rsidRPr="00E254D8">
        <w:rPr>
          <w:rFonts w:ascii="仿宋" w:eastAsia="仿宋" w:hAnsi="仿宋" w:cs="Times New Roman" w:hint="eastAsia"/>
          <w:kern w:val="0"/>
          <w:sz w:val="30"/>
          <w:szCs w:val="30"/>
        </w:rPr>
        <w:t>人的转让不予确认。同时，由于债权融资计划的非公开性与风险特性，债权融资计划的转让可能不活跃，投资者随时达成转让成交的意愿可能无法满足。</w:t>
      </w:r>
      <w:r w:rsidRPr="00E254D8">
        <w:rPr>
          <w:rFonts w:ascii="仿宋" w:eastAsia="仿宋" w:hAnsi="仿宋" w:cs="Times New Roman"/>
          <w:kern w:val="0"/>
          <w:sz w:val="30"/>
          <w:szCs w:val="30"/>
        </w:rPr>
        <w:tab/>
      </w:r>
    </w:p>
    <w:p w:rsidR="00373FBF" w:rsidRPr="00E254D8" w:rsidRDefault="00373FBF" w:rsidP="00373FBF">
      <w:pPr>
        <w:adjustRightInd w:val="0"/>
        <w:snapToGrid w:val="0"/>
        <w:spacing w:line="560" w:lineRule="atLeast"/>
        <w:ind w:firstLineChars="200" w:firstLine="600"/>
        <w:rPr>
          <w:rFonts w:ascii="仿宋" w:eastAsia="仿宋" w:hAnsi="仿宋" w:cs="Times New Roman"/>
          <w:kern w:val="0"/>
          <w:sz w:val="30"/>
          <w:szCs w:val="30"/>
        </w:rPr>
      </w:pPr>
      <w:r w:rsidRPr="00E254D8">
        <w:rPr>
          <w:rFonts w:ascii="仿宋" w:eastAsia="仿宋" w:hAnsi="仿宋" w:cs="Times New Roman" w:hint="eastAsia"/>
          <w:kern w:val="0"/>
          <w:sz w:val="30"/>
          <w:szCs w:val="30"/>
        </w:rPr>
        <w:t>四、投资者应当充分关注债权融资计划融资人的经营风险及可能的还本付息风险。</w:t>
      </w:r>
    </w:p>
    <w:p w:rsidR="00373FBF" w:rsidRPr="00E254D8" w:rsidRDefault="00373FBF" w:rsidP="00373FBF">
      <w:pPr>
        <w:adjustRightInd w:val="0"/>
        <w:snapToGrid w:val="0"/>
        <w:spacing w:line="560" w:lineRule="atLeast"/>
        <w:ind w:firstLineChars="200" w:firstLine="600"/>
        <w:rPr>
          <w:rFonts w:ascii="仿宋" w:eastAsia="仿宋" w:hAnsi="仿宋" w:cs="Times New Roman"/>
          <w:kern w:val="0"/>
          <w:sz w:val="30"/>
          <w:szCs w:val="30"/>
        </w:rPr>
      </w:pPr>
      <w:r w:rsidRPr="00E254D8">
        <w:rPr>
          <w:rFonts w:ascii="仿宋" w:eastAsia="仿宋" w:hAnsi="仿宋" w:cs="Times New Roman" w:hint="eastAsia"/>
          <w:kern w:val="0"/>
          <w:sz w:val="30"/>
          <w:szCs w:val="30"/>
        </w:rPr>
        <w:t>五、</w:t>
      </w:r>
      <w:proofErr w:type="gramStart"/>
      <w:r w:rsidRPr="00E254D8">
        <w:rPr>
          <w:rFonts w:ascii="仿宋" w:eastAsia="仿宋" w:hAnsi="仿宋" w:cs="Times New Roman" w:hint="eastAsia"/>
          <w:kern w:val="0"/>
          <w:sz w:val="30"/>
          <w:szCs w:val="30"/>
        </w:rPr>
        <w:t>本风险</w:t>
      </w:r>
      <w:proofErr w:type="gramEnd"/>
      <w:r w:rsidRPr="00E254D8">
        <w:rPr>
          <w:rFonts w:ascii="仿宋" w:eastAsia="仿宋" w:hAnsi="仿宋" w:cs="Times New Roman" w:hint="eastAsia"/>
          <w:kern w:val="0"/>
          <w:sz w:val="30"/>
          <w:szCs w:val="30"/>
        </w:rPr>
        <w:t>揭示书的风险揭示事项未能详尽列明债权融资计划的所有风险，投资者应对其它相关风险因素也有所了解和掌握，并确信自己已做好足够的风险评估与财务安排，避免因参与债权融资计划投资而遭受难以承受的损失。</w:t>
      </w:r>
    </w:p>
    <w:p w:rsidR="00373FBF" w:rsidRPr="00E254D8" w:rsidRDefault="00373FBF" w:rsidP="00373FBF">
      <w:pPr>
        <w:adjustRightInd w:val="0"/>
        <w:snapToGrid w:val="0"/>
        <w:spacing w:line="560" w:lineRule="atLeast"/>
        <w:rPr>
          <w:rFonts w:ascii="仿宋" w:eastAsia="仿宋" w:hAnsi="仿宋" w:cs="Times New Roman"/>
          <w:kern w:val="0"/>
          <w:sz w:val="30"/>
          <w:szCs w:val="30"/>
        </w:rPr>
      </w:pPr>
    </w:p>
    <w:p w:rsidR="00373FBF" w:rsidRPr="00E254D8" w:rsidRDefault="00373FBF" w:rsidP="00373FBF">
      <w:pPr>
        <w:adjustRightInd w:val="0"/>
        <w:snapToGrid w:val="0"/>
        <w:spacing w:line="560" w:lineRule="atLeast"/>
        <w:rPr>
          <w:rFonts w:ascii="仿宋" w:eastAsia="仿宋" w:hAnsi="仿宋" w:cs="Times New Roman"/>
          <w:kern w:val="0"/>
          <w:sz w:val="30"/>
          <w:szCs w:val="30"/>
        </w:rPr>
      </w:pPr>
    </w:p>
    <w:p w:rsidR="00373FBF" w:rsidRPr="00E254D8" w:rsidRDefault="00373FBF" w:rsidP="00373FBF">
      <w:pPr>
        <w:adjustRightInd w:val="0"/>
        <w:snapToGrid w:val="0"/>
        <w:spacing w:line="560" w:lineRule="atLeast"/>
        <w:rPr>
          <w:rFonts w:ascii="仿宋" w:eastAsia="仿宋" w:hAnsi="仿宋" w:cs="Times New Roman"/>
          <w:kern w:val="0"/>
          <w:sz w:val="30"/>
          <w:szCs w:val="30"/>
        </w:rPr>
      </w:pPr>
      <w:r w:rsidRPr="00E254D8">
        <w:rPr>
          <w:rFonts w:ascii="仿宋" w:eastAsia="仿宋" w:hAnsi="仿宋" w:cs="Times New Roman" w:hint="eastAsia"/>
          <w:kern w:val="0"/>
          <w:sz w:val="30"/>
          <w:szCs w:val="30"/>
        </w:rPr>
        <w:t>投资者签署栏：</w:t>
      </w:r>
    </w:p>
    <w:p w:rsidR="00373FBF" w:rsidRPr="00E254D8" w:rsidRDefault="00373FBF" w:rsidP="00373FBF">
      <w:pPr>
        <w:adjustRightInd w:val="0"/>
        <w:snapToGrid w:val="0"/>
        <w:spacing w:line="560" w:lineRule="atLeast"/>
        <w:ind w:firstLineChars="200" w:firstLine="600"/>
        <w:rPr>
          <w:rFonts w:ascii="仿宋" w:eastAsia="仿宋" w:hAnsi="仿宋" w:cs="Times New Roman"/>
          <w:kern w:val="0"/>
          <w:sz w:val="30"/>
          <w:szCs w:val="30"/>
        </w:rPr>
      </w:pPr>
      <w:r w:rsidRPr="00E254D8">
        <w:rPr>
          <w:rFonts w:ascii="仿宋" w:eastAsia="仿宋" w:hAnsi="仿宋" w:cs="Times New Roman" w:hint="eastAsia"/>
          <w:kern w:val="0"/>
          <w:sz w:val="30"/>
          <w:szCs w:val="30"/>
        </w:rPr>
        <w:t>本人（投资者）对上述《北京金融资产交易所债权融资计划风险揭示书》的内容已经充分理解，承诺本人已知悉相关风险，愿意参与债权融资计划的投资，并愿意承担债权融资计划的投资风险。</w:t>
      </w:r>
    </w:p>
    <w:p w:rsidR="00373FBF" w:rsidRPr="00E254D8" w:rsidRDefault="00373FBF" w:rsidP="00373FBF">
      <w:pPr>
        <w:adjustRightInd w:val="0"/>
        <w:snapToGrid w:val="0"/>
        <w:spacing w:line="560" w:lineRule="atLeast"/>
        <w:ind w:firstLineChars="200" w:firstLine="600"/>
        <w:rPr>
          <w:rFonts w:ascii="仿宋" w:eastAsia="仿宋" w:hAnsi="仿宋" w:cs="Times New Roman"/>
          <w:kern w:val="0"/>
          <w:sz w:val="30"/>
          <w:szCs w:val="30"/>
        </w:rPr>
      </w:pPr>
    </w:p>
    <w:p w:rsidR="00373FBF" w:rsidRPr="00E254D8" w:rsidRDefault="00373FBF" w:rsidP="00373FBF">
      <w:pPr>
        <w:adjustRightInd w:val="0"/>
        <w:snapToGrid w:val="0"/>
        <w:spacing w:line="560" w:lineRule="atLeast"/>
        <w:ind w:firstLine="600"/>
        <w:rPr>
          <w:rFonts w:ascii="仿宋" w:eastAsia="仿宋" w:hAnsi="仿宋" w:cs="Times New Roman"/>
          <w:kern w:val="0"/>
          <w:sz w:val="30"/>
          <w:szCs w:val="30"/>
        </w:rPr>
      </w:pPr>
      <w:r w:rsidRPr="00E254D8">
        <w:rPr>
          <w:rFonts w:ascii="仿宋" w:eastAsia="仿宋" w:hAnsi="仿宋" w:cs="Times New Roman" w:hint="eastAsia"/>
          <w:kern w:val="0"/>
          <w:sz w:val="30"/>
          <w:szCs w:val="30"/>
        </w:rPr>
        <w:t>特此声明。</w:t>
      </w:r>
    </w:p>
    <w:p w:rsidR="00373FBF" w:rsidRPr="00E254D8" w:rsidRDefault="00373FBF" w:rsidP="00373FBF">
      <w:pPr>
        <w:adjustRightInd w:val="0"/>
        <w:snapToGrid w:val="0"/>
        <w:spacing w:line="560" w:lineRule="atLeast"/>
        <w:rPr>
          <w:rFonts w:ascii="仿宋" w:eastAsia="仿宋" w:hAnsi="仿宋" w:cs="Times New Roman"/>
          <w:kern w:val="0"/>
          <w:sz w:val="30"/>
          <w:szCs w:val="30"/>
        </w:rPr>
      </w:pPr>
      <w:r w:rsidRPr="00E254D8">
        <w:rPr>
          <w:rFonts w:ascii="仿宋" w:eastAsia="仿宋" w:hAnsi="仿宋" w:cs="Times New Roman"/>
          <w:kern w:val="0"/>
          <w:sz w:val="30"/>
          <w:szCs w:val="30"/>
        </w:rPr>
        <w:tab/>
      </w:r>
    </w:p>
    <w:p w:rsidR="00373FBF" w:rsidRPr="00E254D8" w:rsidRDefault="00373FBF" w:rsidP="00373FBF">
      <w:pPr>
        <w:adjustRightInd w:val="0"/>
        <w:snapToGrid w:val="0"/>
        <w:spacing w:line="560" w:lineRule="atLeast"/>
        <w:rPr>
          <w:rFonts w:ascii="仿宋" w:eastAsia="仿宋" w:hAnsi="仿宋" w:cs="Times New Roman"/>
          <w:kern w:val="0"/>
          <w:sz w:val="30"/>
          <w:szCs w:val="30"/>
        </w:rPr>
      </w:pPr>
    </w:p>
    <w:p w:rsidR="00373FBF" w:rsidRPr="00E254D8" w:rsidRDefault="00373FBF" w:rsidP="00373FBF">
      <w:pPr>
        <w:adjustRightInd w:val="0"/>
        <w:snapToGrid w:val="0"/>
        <w:spacing w:line="560" w:lineRule="atLeast"/>
        <w:ind w:firstLineChars="1700" w:firstLine="5100"/>
        <w:rPr>
          <w:rFonts w:ascii="仿宋" w:eastAsia="仿宋" w:hAnsi="仿宋" w:cs="Times New Roman"/>
          <w:kern w:val="0"/>
          <w:sz w:val="30"/>
          <w:szCs w:val="30"/>
        </w:rPr>
      </w:pPr>
      <w:r w:rsidRPr="00E254D8">
        <w:rPr>
          <w:rFonts w:ascii="仿宋" w:eastAsia="仿宋" w:hAnsi="仿宋" w:cs="Times New Roman" w:hint="eastAsia"/>
          <w:kern w:val="0"/>
          <w:sz w:val="30"/>
          <w:szCs w:val="30"/>
        </w:rPr>
        <w:t>投资者名称：</w:t>
      </w:r>
    </w:p>
    <w:p w:rsidR="00373FBF" w:rsidRPr="00E254D8" w:rsidRDefault="00373FBF" w:rsidP="00373FBF">
      <w:pPr>
        <w:adjustRightInd w:val="0"/>
        <w:snapToGrid w:val="0"/>
        <w:spacing w:line="560" w:lineRule="atLeast"/>
        <w:ind w:firstLineChars="1950" w:firstLine="5850"/>
        <w:rPr>
          <w:rFonts w:ascii="仿宋" w:eastAsia="仿宋" w:hAnsi="仿宋" w:cs="Times New Roman"/>
          <w:kern w:val="0"/>
          <w:sz w:val="30"/>
          <w:szCs w:val="30"/>
        </w:rPr>
      </w:pPr>
      <w:r w:rsidRPr="00E254D8">
        <w:rPr>
          <w:rFonts w:ascii="仿宋" w:eastAsia="仿宋" w:hAnsi="仿宋" w:cs="Times New Roman" w:hint="eastAsia"/>
          <w:kern w:val="0"/>
          <w:sz w:val="30"/>
          <w:szCs w:val="30"/>
        </w:rPr>
        <w:t>公章：</w:t>
      </w:r>
    </w:p>
    <w:p w:rsidR="00373FBF" w:rsidRPr="0076262E" w:rsidRDefault="00373FBF" w:rsidP="00373FBF">
      <w:pPr>
        <w:wordWrap w:val="0"/>
        <w:adjustRightInd w:val="0"/>
        <w:snapToGrid w:val="0"/>
        <w:spacing w:line="560" w:lineRule="atLeast"/>
        <w:ind w:right="1350"/>
        <w:jc w:val="right"/>
        <w:rPr>
          <w:rFonts w:ascii="仿宋" w:hAnsi="仿宋"/>
          <w:kern w:val="0"/>
          <w:sz w:val="30"/>
        </w:rPr>
      </w:pPr>
      <w:r w:rsidRPr="00E254D8">
        <w:rPr>
          <w:rFonts w:ascii="仿宋" w:eastAsia="仿宋" w:hAnsi="仿宋" w:cs="Times New Roman" w:hint="eastAsia"/>
          <w:kern w:val="0"/>
          <w:sz w:val="30"/>
          <w:szCs w:val="30"/>
        </w:rPr>
        <w:t>年</w:t>
      </w:r>
      <w:r>
        <w:rPr>
          <w:rFonts w:ascii="仿宋" w:eastAsia="仿宋" w:hAnsi="仿宋" w:cs="Times New Roman" w:hint="eastAsia"/>
          <w:kern w:val="0"/>
          <w:sz w:val="30"/>
          <w:szCs w:val="30"/>
        </w:rPr>
        <w:t xml:space="preserve"> </w:t>
      </w:r>
      <w:r w:rsidRPr="00E254D8">
        <w:rPr>
          <w:rFonts w:ascii="仿宋" w:eastAsia="仿宋" w:hAnsi="仿宋" w:cs="Times New Roman" w:hint="eastAsia"/>
          <w:kern w:val="0"/>
          <w:sz w:val="30"/>
          <w:szCs w:val="30"/>
        </w:rPr>
        <w:t>月</w:t>
      </w:r>
      <w:r>
        <w:rPr>
          <w:rFonts w:ascii="仿宋" w:eastAsia="仿宋" w:hAnsi="仿宋" w:cs="Times New Roman" w:hint="eastAsia"/>
          <w:kern w:val="0"/>
          <w:sz w:val="30"/>
          <w:szCs w:val="30"/>
        </w:rPr>
        <w:t xml:space="preserve"> </w:t>
      </w:r>
      <w:r w:rsidRPr="0076262E">
        <w:rPr>
          <w:rFonts w:ascii="仿宋" w:hAnsi="仿宋" w:hint="eastAsia"/>
          <w:kern w:val="0"/>
          <w:sz w:val="30"/>
        </w:rPr>
        <w:t>日</w:t>
      </w:r>
    </w:p>
    <w:p w:rsidR="00373FBF" w:rsidRPr="0081107C" w:rsidRDefault="00373FBF" w:rsidP="00373FBF">
      <w:pPr>
        <w:autoSpaceDE w:val="0"/>
        <w:autoSpaceDN w:val="0"/>
        <w:adjustRightInd w:val="0"/>
        <w:spacing w:line="360" w:lineRule="auto"/>
        <w:jc w:val="left"/>
        <w:rPr>
          <w:rFonts w:ascii="Times New Roman" w:eastAsia="宋体" w:hAnsi="Times New Roman" w:cs="Times New Roman"/>
          <w:color w:val="000000"/>
          <w:kern w:val="0"/>
          <w:sz w:val="24"/>
          <w:szCs w:val="24"/>
        </w:rPr>
      </w:pPr>
    </w:p>
    <w:p w:rsidR="00B601F8" w:rsidRDefault="00B601F8"/>
    <w:sectPr w:rsidR="00B601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FBF"/>
    <w:rsid w:val="00373FBF"/>
    <w:rsid w:val="00B60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D8E6A-1CD1-48E9-B8A4-E47194BB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F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Cfae-P310</dc:creator>
  <cp:keywords/>
  <dc:description/>
  <cp:lastModifiedBy>Cfae-P310</cp:lastModifiedBy>
  <cp:revision>1</cp:revision>
  <dcterms:created xsi:type="dcterms:W3CDTF">2016-10-09T07:07:00Z</dcterms:created>
  <dcterms:modified xsi:type="dcterms:W3CDTF">2016-10-09T07:09:00Z</dcterms:modified>
</cp:coreProperties>
</file>