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中国服务贸易协会商业保理专委会</w:t>
      </w:r>
    </w:p>
    <w:p>
      <w:pPr>
        <w:pStyle w:val="5"/>
        <w:widowControl/>
        <w:spacing w:beforeAutospacing="0" w:afterAutospacing="0" w:line="380" w:lineRule="exact"/>
        <w:jc w:val="center"/>
        <w:rPr>
          <w:b/>
          <w:sz w:val="44"/>
          <w:szCs w:val="44"/>
        </w:rPr>
      </w:pPr>
    </w:p>
    <w:p>
      <w:pPr>
        <w:pStyle w:val="5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书籍</w:t>
      </w:r>
      <w:r>
        <w:fldChar w:fldCharType="begin"/>
      </w:r>
      <w:r>
        <w:instrText xml:space="preserve"> HYPERLINK "http://src.fangchan.com/zhongfangwang/zhongfangwang/lianghui/2014/10/15/fdcnianjian.doc" </w:instrText>
      </w:r>
      <w:r>
        <w:fldChar w:fldCharType="separate"/>
      </w:r>
      <w:r>
        <w:rPr>
          <w:rFonts w:hint="eastAsia"/>
          <w:b/>
          <w:sz w:val="44"/>
          <w:szCs w:val="44"/>
        </w:rPr>
        <w:t>订购单</w:t>
      </w:r>
      <w:r>
        <w:rPr>
          <w:rFonts w:hint="eastAsia"/>
          <w:b/>
          <w:sz w:val="44"/>
          <w:szCs w:val="44"/>
        </w:rPr>
        <w:fldChar w:fldCharType="end"/>
      </w:r>
    </w:p>
    <w:tbl>
      <w:tblPr>
        <w:tblStyle w:val="6"/>
        <w:tblW w:w="10065" w:type="dxa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559"/>
        <w:gridCol w:w="2693"/>
        <w:gridCol w:w="992"/>
        <w:gridCol w:w="851"/>
        <w:gridCol w:w="1843"/>
        <w:gridCol w:w="11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订购</w:t>
            </w:r>
          </w:p>
          <w:p>
            <w:pPr>
              <w:pStyle w:val="5"/>
              <w:spacing w:before="100" w:after="1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信息</w:t>
            </w: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书籍及套餐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单价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（元）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订购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</w:rPr>
              <w:t>数量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订购总额(元 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《中国商业保理行业发展报告（2019）》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180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《中国商业保理行业发展报告（2018）》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color w:val="7F7F7F" w:themeColor="background1" w:themeShade="80"/>
              </w:rPr>
              <w:t>80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《中国商业保理行业发展报告》套装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（含《中国商业保理行业发展报告（</w:t>
            </w:r>
            <w:r>
              <w:rPr>
                <w:rFonts w:ascii="仿宋_GB2312" w:eastAsia="仿宋_GB2312" w:cs="宋体"/>
                <w:bCs/>
                <w:sz w:val="21"/>
                <w:szCs w:val="21"/>
              </w:rPr>
              <w:t>2019）》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《中国商业保理行业发展报告（2018）》     《中国商业保理行业发展报告（2017）》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《中国商业保理行业发展报告（2016）》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《中国商业保理行业发展报告（2011-2015）》</w:t>
            </w:r>
          </w:p>
          <w:p>
            <w:pPr>
              <w:pStyle w:val="5"/>
              <w:widowControl/>
              <w:spacing w:beforeAutospacing="0" w:afterAutospacing="0"/>
              <w:ind w:firstLine="210" w:firstLineChars="1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各1本）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A6A6A6" w:themeColor="background1" w:themeShade="A6"/>
              </w:rPr>
            </w:pPr>
            <w:r>
              <w:rPr>
                <w:rFonts w:hint="eastAsia" w:ascii="仿宋_GB2312" w:eastAsia="仿宋_GB2312"/>
                <w:bCs/>
                <w:color w:val="A6A6A6" w:themeColor="background1" w:themeShade="A6"/>
              </w:rPr>
              <w:t>450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2019报告、行业概览组合装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（含《中国商业保理行业发展报告（2019）》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《全球保理行业概览》各1本）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A6A6A6" w:themeColor="background1" w:themeShade="A6"/>
              </w:rPr>
            </w:pPr>
            <w:r>
              <w:rPr>
                <w:rFonts w:hint="eastAsia" w:ascii="仿宋_GB2312" w:eastAsia="仿宋_GB2312"/>
                <w:bCs/>
                <w:color w:val="A6A6A6" w:themeColor="background1" w:themeShade="A6"/>
              </w:rPr>
              <w:t>260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《商业保理基础教材》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A6A6A6" w:themeColor="background1" w:themeShade="A6"/>
              </w:rPr>
            </w:pPr>
            <w:r>
              <w:rPr>
                <w:rFonts w:hint="eastAsia" w:ascii="仿宋_GB2312" w:eastAsia="仿宋_GB2312"/>
                <w:bCs/>
                <w:color w:val="A6A6A6" w:themeColor="background1" w:themeShade="A6"/>
              </w:rPr>
              <w:t>68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</w:t>
            </w:r>
            <w:r>
              <w:rPr>
                <w:rFonts w:ascii="仿宋_GB2312" w:eastAsia="仿宋_GB2312"/>
              </w:rPr>
              <w:t>包邮</w:t>
            </w:r>
            <w:r>
              <w:rPr>
                <w:rFonts w:hint="eastAsia" w:ascii="仿宋_GB2312" w:eastAsia="仿宋_GB2312"/>
              </w:rPr>
              <w:t>（</w:t>
            </w:r>
            <w:r>
              <w:rPr>
                <w:rFonts w:ascii="仿宋_GB2312" w:eastAsia="仿宋_GB2312"/>
              </w:rPr>
              <w:t>到付</w:t>
            </w:r>
            <w:r>
              <w:rPr>
                <w:rFonts w:hint="eastAsia" w:ascii="仿宋_GB2312" w:eastAsia="仿宋_GB2312"/>
              </w:rPr>
              <w:t>）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《全球保理行业概览》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A6A6A6" w:themeColor="background1" w:themeShade="A6"/>
              </w:rPr>
            </w:pPr>
            <w:r>
              <w:rPr>
                <w:rFonts w:hint="eastAsia" w:ascii="仿宋_GB2312" w:eastAsia="仿宋_GB2312"/>
                <w:bCs/>
                <w:color w:val="A6A6A6" w:themeColor="background1" w:themeShade="A6"/>
              </w:rPr>
              <w:t>80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93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hint="eastAsia" w:ascii="仿宋_GB2312" w:eastAsia="仿宋_GB2312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  <w:lang w:eastAsia="zh-CN"/>
              </w:rPr>
              <w:t>《商业保理术语》《商业保理业务规则》《商业保理合同准则》团体标准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仿宋_GB2312" w:eastAsia="仿宋_GB2312"/>
                <w:bCs/>
                <w:color w:val="A6A6A6" w:themeColor="background1" w:themeShade="A6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6A6A6" w:themeColor="background1" w:themeShade="A6"/>
                <w:lang w:val="en-US" w:eastAsia="zh-CN"/>
              </w:rPr>
              <w:t>99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65" w:type="dxa"/>
            <w:gridSpan w:val="7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color w:val="FF0000"/>
                <w:sz w:val="21"/>
                <w:szCs w:val="21"/>
              </w:rPr>
              <w:t>《中国商业保理行业发展报告（2019）》订购5-9本享9.5折，10本及以上享9折优惠；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color w:val="FF0000"/>
                <w:sz w:val="21"/>
                <w:szCs w:val="21"/>
              </w:rPr>
              <w:t>其他书籍或套装（《商业保理基础教材》</w:t>
            </w:r>
            <w:r>
              <w:rPr>
                <w:rFonts w:hint="eastAsia" w:ascii="仿宋_GB2312" w:eastAsia="仿宋_GB2312" w:cs="宋体"/>
                <w:b/>
                <w:bCs/>
                <w:color w:val="FF0000"/>
                <w:sz w:val="21"/>
                <w:szCs w:val="21"/>
                <w:lang w:eastAsia="zh-CN"/>
              </w:rPr>
              <w:t>、三项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b/>
                <w:bCs/>
                <w:color w:val="FF0000"/>
                <w:sz w:val="21"/>
                <w:szCs w:val="21"/>
                <w:lang w:eastAsia="zh-CN"/>
              </w:rPr>
              <w:t>团体标准</w:t>
            </w:r>
            <w:r>
              <w:rPr>
                <w:rFonts w:hint="eastAsia" w:ascii="仿宋_GB2312" w:eastAsia="仿宋_GB2312" w:cs="宋体"/>
                <w:b/>
                <w:bCs/>
                <w:color w:val="FF0000"/>
                <w:sz w:val="21"/>
                <w:szCs w:val="21"/>
              </w:rPr>
              <w:t>除外）订购2套及以上享8折优惠。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订购单位</w:t>
            </w:r>
          </w:p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订购单位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发票抬头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企业税号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发票内容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资料费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电子发票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接收邮箱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QQ邮箱优先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收货地址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订购人-电话-快递地址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收款</w:t>
            </w:r>
          </w:p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账户</w:t>
            </w:r>
          </w:p>
        </w:tc>
        <w:tc>
          <w:tcPr>
            <w:tcW w:w="907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账户名称：</w:t>
            </w: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开户银行：</w:t>
            </w: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账    号：</w:t>
            </w:r>
            <w:r>
              <w:rPr>
                <w:rFonts w:hint="eastAsia" w:ascii="仿宋_GB2312" w:eastAsia="仿宋_GB2312" w:cs="宋体"/>
                <w:lang w:eastAsia="zh-TW"/>
              </w:rPr>
              <w:t>0875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1112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0100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3041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13140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>
              <w:rPr>
                <w:rFonts w:hint="eastAsia" w:ascii="仿宋_GB2312" w:eastAsia="仿宋_GB2312" w:cs="宋体"/>
                <w:b/>
                <w:color w:val="FF0000"/>
              </w:rPr>
              <w:t>（个人账户操作汇款时请在汇款附言处填写开发票的公司抬头名称，字数有限可简称）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         方式</w:t>
            </w:r>
          </w:p>
        </w:tc>
        <w:tc>
          <w:tcPr>
            <w:tcW w:w="907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 xml:space="preserve">联系人：肖楠  罗翎毓 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联系电话：010-64515241、64515363 电子邮箱:cfec@cfec.org.cn</w:t>
            </w:r>
          </w:p>
        </w:tc>
      </w:tr>
    </w:tbl>
    <w:p>
      <w:pPr>
        <w:pStyle w:val="5"/>
        <w:widowControl/>
        <w:spacing w:beforeAutospacing="0" w:afterAutospacing="0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>备注：1.活动时间、套餐组合等解释权归商业保理专委会秘书处所有。</w:t>
      </w:r>
    </w:p>
    <w:p>
      <w:pPr>
        <w:pStyle w:val="5"/>
        <w:widowControl/>
        <w:spacing w:beforeAutospacing="0" w:afterAutospacing="0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      2.协会到付快递默认顺丰速运。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E2D"/>
    <w:rsid w:val="000209DE"/>
    <w:rsid w:val="0003173A"/>
    <w:rsid w:val="00072C08"/>
    <w:rsid w:val="000745B2"/>
    <w:rsid w:val="000904DA"/>
    <w:rsid w:val="00093D72"/>
    <w:rsid w:val="000A7043"/>
    <w:rsid w:val="000B36AB"/>
    <w:rsid w:val="000D396D"/>
    <w:rsid w:val="00103F73"/>
    <w:rsid w:val="0012251D"/>
    <w:rsid w:val="001531EC"/>
    <w:rsid w:val="00157FDC"/>
    <w:rsid w:val="001628B0"/>
    <w:rsid w:val="00172A27"/>
    <w:rsid w:val="001C464E"/>
    <w:rsid w:val="002036EB"/>
    <w:rsid w:val="002137B6"/>
    <w:rsid w:val="00223EF1"/>
    <w:rsid w:val="00231A4E"/>
    <w:rsid w:val="00235D60"/>
    <w:rsid w:val="00260904"/>
    <w:rsid w:val="002616AB"/>
    <w:rsid w:val="002738B0"/>
    <w:rsid w:val="00285787"/>
    <w:rsid w:val="00291962"/>
    <w:rsid w:val="00296974"/>
    <w:rsid w:val="002D4D65"/>
    <w:rsid w:val="002E608E"/>
    <w:rsid w:val="002F25A6"/>
    <w:rsid w:val="00314ED6"/>
    <w:rsid w:val="003171CA"/>
    <w:rsid w:val="0032159E"/>
    <w:rsid w:val="00324723"/>
    <w:rsid w:val="00340AAF"/>
    <w:rsid w:val="003663CF"/>
    <w:rsid w:val="003853F1"/>
    <w:rsid w:val="003B2342"/>
    <w:rsid w:val="003B6F42"/>
    <w:rsid w:val="003B7CD1"/>
    <w:rsid w:val="003C1A7C"/>
    <w:rsid w:val="003E0D1E"/>
    <w:rsid w:val="003F0986"/>
    <w:rsid w:val="00404724"/>
    <w:rsid w:val="00405A78"/>
    <w:rsid w:val="00430728"/>
    <w:rsid w:val="00470831"/>
    <w:rsid w:val="004753CF"/>
    <w:rsid w:val="004B510F"/>
    <w:rsid w:val="004B716F"/>
    <w:rsid w:val="004C39C4"/>
    <w:rsid w:val="004F1A14"/>
    <w:rsid w:val="005053F5"/>
    <w:rsid w:val="00525328"/>
    <w:rsid w:val="0059445A"/>
    <w:rsid w:val="005F4EB6"/>
    <w:rsid w:val="006226B3"/>
    <w:rsid w:val="00637B89"/>
    <w:rsid w:val="00653753"/>
    <w:rsid w:val="00666127"/>
    <w:rsid w:val="00682F2E"/>
    <w:rsid w:val="006D05E4"/>
    <w:rsid w:val="006D1329"/>
    <w:rsid w:val="006E110A"/>
    <w:rsid w:val="006E376D"/>
    <w:rsid w:val="00724832"/>
    <w:rsid w:val="0074577A"/>
    <w:rsid w:val="0076603F"/>
    <w:rsid w:val="007F06B7"/>
    <w:rsid w:val="008408CD"/>
    <w:rsid w:val="00871731"/>
    <w:rsid w:val="00876B58"/>
    <w:rsid w:val="008B201E"/>
    <w:rsid w:val="008F7873"/>
    <w:rsid w:val="00905C61"/>
    <w:rsid w:val="009136B2"/>
    <w:rsid w:val="00924E6B"/>
    <w:rsid w:val="00964A9C"/>
    <w:rsid w:val="00966091"/>
    <w:rsid w:val="009753BF"/>
    <w:rsid w:val="00982DFE"/>
    <w:rsid w:val="00983C53"/>
    <w:rsid w:val="009B5C28"/>
    <w:rsid w:val="009D2CD5"/>
    <w:rsid w:val="009D2FB1"/>
    <w:rsid w:val="009E7D2D"/>
    <w:rsid w:val="00A03EBA"/>
    <w:rsid w:val="00A05559"/>
    <w:rsid w:val="00A219E5"/>
    <w:rsid w:val="00A225E2"/>
    <w:rsid w:val="00A63E0C"/>
    <w:rsid w:val="00A95E2B"/>
    <w:rsid w:val="00AB4CE5"/>
    <w:rsid w:val="00AF4655"/>
    <w:rsid w:val="00B32FD4"/>
    <w:rsid w:val="00B557A0"/>
    <w:rsid w:val="00B6535B"/>
    <w:rsid w:val="00B7056C"/>
    <w:rsid w:val="00B831CF"/>
    <w:rsid w:val="00B93A46"/>
    <w:rsid w:val="00BD00BB"/>
    <w:rsid w:val="00BE747B"/>
    <w:rsid w:val="00C33AAD"/>
    <w:rsid w:val="00C46E73"/>
    <w:rsid w:val="00C525B6"/>
    <w:rsid w:val="00C632CA"/>
    <w:rsid w:val="00C63301"/>
    <w:rsid w:val="00C87446"/>
    <w:rsid w:val="00C94BCE"/>
    <w:rsid w:val="00C9698A"/>
    <w:rsid w:val="00C96CFA"/>
    <w:rsid w:val="00CB62E0"/>
    <w:rsid w:val="00CB6823"/>
    <w:rsid w:val="00CC679B"/>
    <w:rsid w:val="00CE28B4"/>
    <w:rsid w:val="00CE4BBA"/>
    <w:rsid w:val="00D02B15"/>
    <w:rsid w:val="00D14E6E"/>
    <w:rsid w:val="00D2604E"/>
    <w:rsid w:val="00D44742"/>
    <w:rsid w:val="00D61576"/>
    <w:rsid w:val="00D83208"/>
    <w:rsid w:val="00DA1C5A"/>
    <w:rsid w:val="00DA20B8"/>
    <w:rsid w:val="00DF75A9"/>
    <w:rsid w:val="00E02C41"/>
    <w:rsid w:val="00E4726C"/>
    <w:rsid w:val="00E9490C"/>
    <w:rsid w:val="00E95992"/>
    <w:rsid w:val="00ED440B"/>
    <w:rsid w:val="00EE49A3"/>
    <w:rsid w:val="00F13766"/>
    <w:rsid w:val="00F13C92"/>
    <w:rsid w:val="00F3120D"/>
    <w:rsid w:val="00F41492"/>
    <w:rsid w:val="00F52E8C"/>
    <w:rsid w:val="00F610C4"/>
    <w:rsid w:val="00F626C4"/>
    <w:rsid w:val="00F63214"/>
    <w:rsid w:val="00F82F35"/>
    <w:rsid w:val="00F916ED"/>
    <w:rsid w:val="00F92C51"/>
    <w:rsid w:val="00FC03C6"/>
    <w:rsid w:val="00FC115C"/>
    <w:rsid w:val="00FD4235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4A8D4926"/>
    <w:rsid w:val="53A905A6"/>
    <w:rsid w:val="5C732657"/>
    <w:rsid w:val="5C7F70EF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宋体" w:hAnsi="宋体" w:cs="宋体" w:eastAsiaTheme="minorEastAsia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宋体" w:hAnsi="宋体" w:cs="宋体" w:eastAsiaTheme="minorEastAsia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134</Words>
  <Characters>766</Characters>
  <Lines>6</Lines>
  <Paragraphs>1</Paragraphs>
  <TotalTime>2</TotalTime>
  <ScaleCrop>false</ScaleCrop>
  <LinksUpToDate>false</LinksUpToDate>
  <CharactersWithSpaces>899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2019-04-24T06:39:00Z</dcterms:created>
  <dc:creator>zhaoxinlei</dc:creator>
  <cp:lastModifiedBy>凌*青寒</cp:lastModifiedBy>
  <cp:lastPrinted>2018-05-29T08:12:00Z</cp:lastPrinted>
  <dcterms:modified xsi:type="dcterms:W3CDTF">2020-12-08T06:28:08Z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