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1A5" w:rsidRDefault="00AC71A5" w:rsidP="00AC71A5">
      <w:pPr>
        <w:pStyle w:val="a5"/>
        <w:rPr>
          <w:rFonts w:ascii="Gill Sans MT"/>
          <w:sz w:val="20"/>
        </w:rPr>
      </w:pPr>
    </w:p>
    <w:p w:rsidR="00AC71A5" w:rsidRDefault="00AC71A5" w:rsidP="00AC71A5">
      <w:pPr>
        <w:pStyle w:val="a5"/>
        <w:rPr>
          <w:rFonts w:ascii="Gill Sans MT"/>
          <w:sz w:val="20"/>
        </w:rPr>
      </w:pPr>
    </w:p>
    <w:p w:rsidR="00AC71A5" w:rsidRDefault="00AC71A5" w:rsidP="00AC71A5">
      <w:pPr>
        <w:pStyle w:val="a5"/>
        <w:rPr>
          <w:rFonts w:ascii="Gill Sans MT"/>
          <w:sz w:val="20"/>
        </w:rPr>
      </w:pPr>
    </w:p>
    <w:p w:rsidR="00AC71A5" w:rsidRDefault="00AC71A5" w:rsidP="00AC71A5">
      <w:pPr>
        <w:pStyle w:val="a5"/>
        <w:rPr>
          <w:rFonts w:ascii="Gill Sans MT"/>
          <w:sz w:val="20"/>
        </w:rPr>
      </w:pPr>
    </w:p>
    <w:p w:rsidR="00AC71A5" w:rsidRDefault="00AC71A5" w:rsidP="00AC71A5">
      <w:pPr>
        <w:pStyle w:val="a5"/>
        <w:rPr>
          <w:rFonts w:ascii="Gill Sans MT"/>
          <w:sz w:val="20"/>
        </w:rPr>
      </w:pPr>
    </w:p>
    <w:p w:rsidR="00AC71A5" w:rsidRDefault="00AC71A5" w:rsidP="00AC71A5">
      <w:pPr>
        <w:pStyle w:val="a5"/>
        <w:rPr>
          <w:rFonts w:ascii="Gill Sans MT"/>
          <w:sz w:val="20"/>
        </w:rPr>
      </w:pPr>
    </w:p>
    <w:p w:rsidR="00AC71A5" w:rsidRDefault="00AC71A5" w:rsidP="00AC71A5">
      <w:pPr>
        <w:pStyle w:val="a5"/>
        <w:rPr>
          <w:rFonts w:ascii="Gill Sans MT"/>
          <w:sz w:val="20"/>
        </w:rPr>
      </w:pPr>
    </w:p>
    <w:p w:rsidR="00AC71A5" w:rsidRDefault="00AC71A5" w:rsidP="00AC71A5">
      <w:pPr>
        <w:pStyle w:val="a5"/>
        <w:rPr>
          <w:rFonts w:ascii="Gill Sans MT"/>
          <w:sz w:val="20"/>
        </w:rPr>
      </w:pPr>
    </w:p>
    <w:p w:rsidR="00AC71A5" w:rsidRDefault="00AC71A5" w:rsidP="00AC71A5">
      <w:pPr>
        <w:pStyle w:val="a5"/>
        <w:rPr>
          <w:rFonts w:ascii="Gill Sans MT"/>
          <w:sz w:val="20"/>
        </w:rPr>
      </w:pPr>
    </w:p>
    <w:p w:rsidR="00AC71A5" w:rsidRDefault="00AC71A5" w:rsidP="00AC71A5">
      <w:pPr>
        <w:pStyle w:val="a5"/>
        <w:rPr>
          <w:rFonts w:ascii="Gill Sans MT"/>
          <w:sz w:val="20"/>
        </w:rPr>
      </w:pPr>
    </w:p>
    <w:p w:rsidR="00AC71A5" w:rsidRDefault="00AC71A5" w:rsidP="00AC71A5">
      <w:pPr>
        <w:pStyle w:val="a5"/>
        <w:rPr>
          <w:rFonts w:ascii="Gill Sans MT"/>
          <w:sz w:val="20"/>
        </w:rPr>
      </w:pPr>
    </w:p>
    <w:p w:rsidR="00AC71A5" w:rsidRDefault="00AC71A5" w:rsidP="00AC71A5">
      <w:pPr>
        <w:pStyle w:val="a5"/>
        <w:rPr>
          <w:rFonts w:ascii="Gill Sans MT"/>
          <w:sz w:val="20"/>
        </w:rPr>
      </w:pPr>
    </w:p>
    <w:p w:rsidR="00AC71A5" w:rsidRDefault="00AC71A5" w:rsidP="00AC71A5">
      <w:pPr>
        <w:pStyle w:val="a5"/>
        <w:rPr>
          <w:rFonts w:ascii="Gill Sans MT"/>
          <w:sz w:val="20"/>
        </w:rPr>
      </w:pPr>
    </w:p>
    <w:p w:rsidR="00AC71A5" w:rsidRDefault="00AC71A5" w:rsidP="00AC71A5">
      <w:pPr>
        <w:pStyle w:val="a5"/>
        <w:spacing w:before="1"/>
        <w:rPr>
          <w:rFonts w:ascii="Gill Sans MT"/>
          <w:sz w:val="19"/>
        </w:rPr>
      </w:pPr>
    </w:p>
    <w:p w:rsidR="00AC71A5" w:rsidRDefault="00AC71A5" w:rsidP="00AC71A5">
      <w:pPr>
        <w:spacing w:before="19"/>
        <w:ind w:left="59" w:right="591"/>
        <w:jc w:val="center"/>
        <w:rPr>
          <w:sz w:val="80"/>
        </w:rPr>
      </w:pPr>
      <w:r>
        <w:rPr>
          <w:color w:val="0A376A"/>
          <w:sz w:val="80"/>
        </w:rPr>
        <w:t>第三部分</w:t>
      </w:r>
    </w:p>
    <w:p w:rsidR="00AC71A5" w:rsidRDefault="00AC71A5" w:rsidP="00AC71A5">
      <w:pPr>
        <w:spacing w:before="402" w:line="216" w:lineRule="auto"/>
        <w:ind w:left="1505" w:right="2037"/>
        <w:jc w:val="center"/>
        <w:rPr>
          <w:sz w:val="87"/>
        </w:rPr>
      </w:pPr>
      <w:r>
        <w:rPr>
          <w:color w:val="0A376A"/>
          <w:spacing w:val="-2"/>
          <w:sz w:val="87"/>
        </w:rPr>
        <w:t>构建系统性金融风险</w:t>
      </w:r>
      <w:r>
        <w:rPr>
          <w:color w:val="0A376A"/>
          <w:sz w:val="87"/>
        </w:rPr>
        <w:t>防控体系</w:t>
      </w:r>
    </w:p>
    <w:p w:rsidR="00AC71A5" w:rsidRDefault="00AC71A5" w:rsidP="00AC71A5">
      <w:pPr>
        <w:pStyle w:val="a5"/>
        <w:spacing w:before="3"/>
        <w:rPr>
          <w:sz w:val="8"/>
        </w:rPr>
      </w:pPr>
      <w:r>
        <w:rPr>
          <w:noProof/>
          <w:lang w:val="en-US" w:bidi="ar-SA"/>
        </w:rPr>
        <mc:AlternateContent>
          <mc:Choice Requires="wps">
            <w:drawing>
              <wp:anchor distT="0" distB="0" distL="0" distR="0" simplePos="0" relativeHeight="251659264" behindDoc="1" locked="0" layoutInCell="1" allowOverlap="1" wp14:anchorId="41497CC8" wp14:editId="3B44E098">
                <wp:simplePos x="0" y="0"/>
                <wp:positionH relativeFrom="page">
                  <wp:posOffset>972185</wp:posOffset>
                </wp:positionH>
                <wp:positionV relativeFrom="paragraph">
                  <wp:posOffset>98425</wp:posOffset>
                </wp:positionV>
                <wp:extent cx="5615940" cy="0"/>
                <wp:effectExtent l="10160" t="8890" r="12700" b="10160"/>
                <wp:wrapTopAndBottom/>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A376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6.55pt,7.75pt" to="518.7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" strokecolor="#0a376a" strokeweight="1pt">
                <w10:wrap type="topAndBottom" anchorx="page"/>
              </v:line>
            </w:pict>
          </mc:Fallback>
        </mc:AlternateContent>
      </w:r>
    </w:p>
    <w:p w:rsidR="00AC71A5" w:rsidRDefault="00AC71A5" w:rsidP="00AC71A5">
      <w:pPr>
        <w:rPr>
          <w:sz w:val="8"/>
        </w:rPr>
        <w:sectPr w:rsidR="00AC71A5">
          <w:headerReference w:type="default" r:id="rId7"/>
          <w:pgSz w:w="11910" w:h="16160"/>
          <w:pgMar w:top="640" w:right="0" w:bottom="280" w:left="520" w:header="0" w:footer="0" w:gutter="0"/>
          <w:cols w:space="720"/>
        </w:sectPr>
      </w:pPr>
    </w:p>
    <w:p w:rsidR="00AC71A5" w:rsidRDefault="00AC71A5" w:rsidP="00AC71A5">
      <w:pPr>
        <w:pStyle w:val="a5"/>
        <w:spacing w:before="4"/>
        <w:rPr>
          <w:rFonts w:ascii="Times New Roman"/>
          <w:sz w:val="17"/>
        </w:rPr>
      </w:pPr>
    </w:p>
    <w:p w:rsidR="00AC71A5" w:rsidRDefault="00AC71A5" w:rsidP="00AC71A5">
      <w:pPr>
        <w:rPr>
          <w:rFonts w:ascii="Times New Roman"/>
          <w:sz w:val="17"/>
        </w:rPr>
        <w:sectPr w:rsidR="00AC71A5">
          <w:headerReference w:type="even" r:id="rId8"/>
          <w:pgSz w:w="11910" w:h="16160"/>
          <w:pgMar w:top="1520" w:right="0" w:bottom="280" w:left="520" w:header="0" w:footer="0" w:gutter="0"/>
          <w:cols w:space="720"/>
        </w:sectPr>
      </w:pPr>
    </w:p>
    <w:p w:rsidR="00AC71A5" w:rsidRDefault="00AC71A5" w:rsidP="00AC71A5">
      <w:pPr>
        <w:pStyle w:val="a5"/>
        <w:rPr>
          <w:rFonts w:ascii="Times New Roman"/>
          <w:sz w:val="20"/>
        </w:rPr>
      </w:pPr>
    </w:p>
    <w:p w:rsidR="00AC71A5" w:rsidRDefault="00AC71A5" w:rsidP="00AC71A5">
      <w:pPr>
        <w:pStyle w:val="a5"/>
        <w:rPr>
          <w:rFonts w:ascii="Times New Roman"/>
          <w:sz w:val="19"/>
        </w:rPr>
      </w:pPr>
    </w:p>
    <w:p w:rsidR="00AC71A5" w:rsidRDefault="00AC71A5" w:rsidP="00AC71A5">
      <w:pPr>
        <w:rPr>
          <w:rFonts w:ascii="Times New Roman"/>
          <w:sz w:val="19"/>
        </w:rPr>
        <w:sectPr w:rsidR="00AC71A5">
          <w:headerReference w:type="even" r:id="rId9"/>
          <w:headerReference w:type="default" r:id="rId10"/>
          <w:pgSz w:w="11910" w:h="16160"/>
          <w:pgMar w:top="1400" w:right="0" w:bottom="280" w:left="520" w:header="1067" w:footer="0" w:gutter="0"/>
          <w:pgNumType w:start="55"/>
          <w:cols w:space="720"/>
        </w:sectPr>
      </w:pPr>
    </w:p>
    <w:p w:rsidR="00AC71A5" w:rsidRDefault="00AC71A5" w:rsidP="00AC71A5">
      <w:pPr>
        <w:pStyle w:val="a5"/>
        <w:spacing w:before="78" w:line="374" w:lineRule="auto"/>
        <w:ind w:left="1180" w:firstLine="425"/>
        <w:jc w:val="both"/>
      </w:pPr>
      <w:r>
        <w:rPr>
          <w:rFonts w:ascii="Times New Roman" w:eastAsia="Times New Roman"/>
          <w:color w:val="231F20"/>
          <w:spacing w:val="16"/>
        </w:rPr>
        <w:lastRenderedPageBreak/>
        <w:t>2020</w:t>
      </w:r>
      <w:r>
        <w:rPr>
          <w:rFonts w:ascii="Times New Roman" w:eastAsia="Times New Roman"/>
          <w:color w:val="231F20"/>
          <w:spacing w:val="-30"/>
        </w:rPr>
        <w:t xml:space="preserve"> </w:t>
      </w:r>
      <w:r>
        <w:rPr>
          <w:color w:val="231F20"/>
          <w:spacing w:val="21"/>
        </w:rPr>
        <w:t>年，国际社会继续完善宏观审慎</w:t>
      </w:r>
      <w:r>
        <w:rPr>
          <w:color w:val="231F20"/>
          <w:spacing w:val="9"/>
        </w:rPr>
        <w:t>政策框架，推动落实危机后国际金融监管改革措施，积极应对新冠肺炎疫情冲击，妥善采取逆周期调节措施。我国在借鉴国际经验的基础上，不断完善系统性金融风险防控体系，强化系统性风险监测评估，加强疫情下</w:t>
      </w:r>
      <w:r>
        <w:rPr>
          <w:color w:val="231F20"/>
        </w:rPr>
        <w:t>宏观政策协调。</w:t>
      </w:r>
    </w:p>
    <w:p w:rsidR="00AC71A5" w:rsidRDefault="00AC71A5" w:rsidP="00AC71A5">
      <w:pPr>
        <w:pStyle w:val="a5"/>
        <w:rPr>
          <w:sz w:val="20"/>
        </w:rPr>
      </w:pPr>
    </w:p>
    <w:p w:rsidR="00AC71A5" w:rsidRDefault="00AC71A5" w:rsidP="00AC71A5">
      <w:pPr>
        <w:pStyle w:val="a5"/>
        <w:spacing w:before="8"/>
        <w:rPr>
          <w:sz w:val="15"/>
        </w:rPr>
      </w:pPr>
    </w:p>
    <w:p w:rsidR="00AC71A5" w:rsidRDefault="00AC71A5" w:rsidP="00AC71A5">
      <w:pPr>
        <w:spacing w:line="249" w:lineRule="auto"/>
        <w:ind w:left="1180" w:right="20" w:firstLine="464"/>
        <w:rPr>
          <w:sz w:val="28"/>
        </w:rPr>
      </w:pPr>
      <w:r>
        <w:rPr>
          <w:color w:val="0A376A"/>
          <w:sz w:val="28"/>
        </w:rPr>
        <w:t>一、国际金融监管改革及落实进展</w:t>
      </w:r>
    </w:p>
    <w:p w:rsidR="00AC71A5" w:rsidRDefault="00AC71A5" w:rsidP="00AC71A5">
      <w:pPr>
        <w:pStyle w:val="a5"/>
        <w:rPr>
          <w:sz w:val="32"/>
        </w:rPr>
      </w:pPr>
    </w:p>
    <w:p w:rsidR="00AC71A5" w:rsidRDefault="00AC71A5" w:rsidP="00AC71A5">
      <w:pPr>
        <w:pStyle w:val="3"/>
        <w:spacing w:before="205"/>
        <w:ind w:left="1577"/>
      </w:pPr>
      <w:r>
        <w:rPr>
          <w:color w:val="231F20"/>
        </w:rPr>
        <w:t>（一）构建稳健的金融机构</w:t>
      </w:r>
    </w:p>
    <w:p w:rsidR="00AC71A5" w:rsidRDefault="00AC71A5" w:rsidP="00AC71A5">
      <w:pPr>
        <w:pStyle w:val="a5"/>
        <w:spacing w:before="10"/>
        <w:rPr>
          <w:sz w:val="22"/>
        </w:rPr>
      </w:pPr>
    </w:p>
    <w:p w:rsidR="00AC71A5" w:rsidRDefault="00AC71A5" w:rsidP="00AC71A5">
      <w:pPr>
        <w:pStyle w:val="a5"/>
        <w:spacing w:line="374" w:lineRule="auto"/>
        <w:ind w:left="1180" w:right="2" w:firstLine="425"/>
        <w:jc w:val="both"/>
      </w:pPr>
      <w:r>
        <w:rPr>
          <w:color w:val="231F20"/>
          <w:spacing w:val="10"/>
        </w:rPr>
        <w:t>积极出台应对疫情影响的措施。巴塞尔</w:t>
      </w:r>
      <w:r>
        <w:rPr>
          <w:color w:val="231F20"/>
          <w:spacing w:val="9"/>
        </w:rPr>
        <w:t>银行监管委员会针对疫情对银行业的影响， 出台了多维度的支持措施。在巴塞尔框架实施安排上，将《巴塞尔协议Ⅲ：危机后改革</w:t>
      </w:r>
      <w:r>
        <w:rPr>
          <w:color w:val="231F20"/>
          <w:spacing w:val="8"/>
        </w:rPr>
        <w:t>的最终方案》的执行时间由</w:t>
      </w:r>
      <w:r>
        <w:rPr>
          <w:rFonts w:ascii="Times New Roman" w:eastAsia="Times New Roman" w:hAnsi="Times New Roman"/>
          <w:color w:val="231F20"/>
          <w:spacing w:val="8"/>
        </w:rPr>
        <w:t>2022</w:t>
      </w:r>
      <w:r>
        <w:rPr>
          <w:color w:val="231F20"/>
          <w:spacing w:val="8"/>
        </w:rPr>
        <w:t>年</w:t>
      </w:r>
      <w:r>
        <w:rPr>
          <w:rFonts w:ascii="Times New Roman" w:eastAsia="Times New Roman" w:hAnsi="Times New Roman"/>
          <w:color w:val="231F20"/>
          <w:spacing w:val="8"/>
        </w:rPr>
        <w:t>1</w:t>
      </w:r>
      <w:r>
        <w:rPr>
          <w:color w:val="231F20"/>
          <w:spacing w:val="8"/>
        </w:rPr>
        <w:t>月</w:t>
      </w:r>
      <w:r>
        <w:rPr>
          <w:rFonts w:ascii="Times New Roman" w:eastAsia="Times New Roman" w:hAnsi="Times New Roman"/>
          <w:color w:val="231F20"/>
          <w:spacing w:val="8"/>
        </w:rPr>
        <w:t>1</w:t>
      </w:r>
      <w:r>
        <w:rPr>
          <w:color w:val="231F20"/>
          <w:spacing w:val="8"/>
        </w:rPr>
        <w:t>日推迟至</w:t>
      </w:r>
      <w:r>
        <w:rPr>
          <w:rFonts w:ascii="Times New Roman" w:eastAsia="Times New Roman" w:hAnsi="Times New Roman"/>
          <w:color w:val="231F20"/>
          <w:spacing w:val="8"/>
        </w:rPr>
        <w:t>2023</w:t>
      </w:r>
      <w:r>
        <w:rPr>
          <w:color w:val="231F20"/>
          <w:spacing w:val="8"/>
        </w:rPr>
        <w:t>年</w:t>
      </w:r>
      <w:r>
        <w:rPr>
          <w:rFonts w:ascii="Times New Roman" w:eastAsia="Times New Roman" w:hAnsi="Times New Roman"/>
          <w:color w:val="231F20"/>
          <w:spacing w:val="8"/>
        </w:rPr>
        <w:t>1</w:t>
      </w:r>
      <w:r>
        <w:rPr>
          <w:color w:val="231F20"/>
          <w:spacing w:val="8"/>
        </w:rPr>
        <w:t>月</w:t>
      </w:r>
      <w:r>
        <w:rPr>
          <w:rFonts w:ascii="Times New Roman" w:eastAsia="Times New Roman" w:hAnsi="Times New Roman"/>
          <w:color w:val="231F20"/>
          <w:spacing w:val="8"/>
        </w:rPr>
        <w:t>1</w:t>
      </w:r>
      <w:r>
        <w:rPr>
          <w:color w:val="231F20"/>
          <w:spacing w:val="8"/>
        </w:rPr>
        <w:t>日，将修订后的全球系统重</w:t>
      </w:r>
      <w:r>
        <w:rPr>
          <w:color w:val="231F20"/>
          <w:spacing w:val="19"/>
        </w:rPr>
        <w:t>要性银行</w:t>
      </w:r>
      <w:r>
        <w:rPr>
          <w:color w:val="231F20"/>
        </w:rPr>
        <w:t>（</w:t>
      </w:r>
      <w:r>
        <w:rPr>
          <w:color w:val="231F20"/>
          <w:spacing w:val="-86"/>
        </w:rPr>
        <w:t xml:space="preserve"> </w:t>
      </w:r>
      <w:r>
        <w:rPr>
          <w:rFonts w:ascii="Times New Roman" w:eastAsia="Times New Roman" w:hAnsi="Times New Roman"/>
          <w:color w:val="231F20"/>
          <w:spacing w:val="19"/>
        </w:rPr>
        <w:t>G-SIBs</w:t>
      </w:r>
      <w:r>
        <w:rPr>
          <w:color w:val="231F20"/>
          <w:spacing w:val="19"/>
        </w:rPr>
        <w:t>）</w:t>
      </w:r>
      <w:r>
        <w:rPr>
          <w:color w:val="231F20"/>
          <w:spacing w:val="17"/>
        </w:rPr>
        <w:t>评估框架实施时间由</w:t>
      </w:r>
      <w:r>
        <w:rPr>
          <w:rFonts w:ascii="Times New Roman" w:eastAsia="Times New Roman" w:hAnsi="Times New Roman"/>
          <w:color w:val="231F20"/>
          <w:spacing w:val="7"/>
        </w:rPr>
        <w:t>2021</w:t>
      </w:r>
      <w:r>
        <w:rPr>
          <w:color w:val="231F20"/>
          <w:spacing w:val="7"/>
        </w:rPr>
        <w:t>年延迟至</w:t>
      </w:r>
      <w:r>
        <w:rPr>
          <w:rFonts w:ascii="Times New Roman" w:eastAsia="Times New Roman" w:hAnsi="Times New Roman"/>
          <w:color w:val="231F20"/>
          <w:spacing w:val="7"/>
        </w:rPr>
        <w:t>2022</w:t>
      </w:r>
      <w:r>
        <w:rPr>
          <w:color w:val="231F20"/>
          <w:spacing w:val="7"/>
        </w:rPr>
        <w:t>年，暂停了</w:t>
      </w:r>
      <w:r>
        <w:rPr>
          <w:rFonts w:ascii="Times New Roman" w:eastAsia="Times New Roman" w:hAnsi="Times New Roman"/>
          <w:color w:val="231F20"/>
          <w:spacing w:val="7"/>
        </w:rPr>
        <w:t>2020</w:t>
      </w:r>
      <w:r>
        <w:rPr>
          <w:color w:val="231F20"/>
          <w:spacing w:val="7"/>
        </w:rPr>
        <w:t>年各成员</w:t>
      </w:r>
      <w:r>
        <w:rPr>
          <w:color w:val="231F20"/>
          <w:spacing w:val="9"/>
        </w:rPr>
        <w:t>经济体标准实施评估工作。在银行资本计提</w:t>
      </w:r>
    </w:p>
    <w:p w:rsidR="00AC71A5" w:rsidRDefault="00AC71A5" w:rsidP="00AC71A5">
      <w:pPr>
        <w:pStyle w:val="a5"/>
        <w:spacing w:before="78" w:line="374" w:lineRule="auto"/>
        <w:ind w:left="390" w:right="1404"/>
        <w:jc w:val="both"/>
      </w:pPr>
      <w:r>
        <w:br w:type="column"/>
      </w:r>
      <w:r>
        <w:rPr>
          <w:color w:val="231F20"/>
        </w:rPr>
        <w:lastRenderedPageBreak/>
        <w:t>方面，明确政府为应对疫情影响而提供担保的贷款适用主权风险权重，受疫情影响贷款的暂停还款期不计入逾期</w:t>
      </w:r>
      <w:r>
        <w:rPr>
          <w:rFonts w:ascii="Times New Roman" w:eastAsia="Times New Roman"/>
          <w:color w:val="231F20"/>
        </w:rPr>
        <w:t>90</w:t>
      </w:r>
      <w:r>
        <w:rPr>
          <w:color w:val="231F20"/>
        </w:rPr>
        <w:t>天的计算范畴， 受疫情影响而暂停还款、接受公共担保的贷款</w:t>
      </w:r>
      <w:proofErr w:type="gramStart"/>
      <w:r>
        <w:rPr>
          <w:color w:val="231F20"/>
        </w:rPr>
        <w:t>不</w:t>
      </w:r>
      <w:proofErr w:type="gramEnd"/>
      <w:r>
        <w:rPr>
          <w:color w:val="231F20"/>
        </w:rPr>
        <w:t>自动分类为重组贷款。在逆周期调节方面，明确银行持有的资本和流动性缓冲在压力时期可用于吸收损失和支持实体经济，允许使用预期信用损失模型计</w:t>
      </w:r>
      <w:proofErr w:type="gramStart"/>
      <w:r>
        <w:rPr>
          <w:color w:val="231F20"/>
        </w:rPr>
        <w:t>提拨</w:t>
      </w:r>
      <w:proofErr w:type="gramEnd"/>
      <w:r>
        <w:rPr>
          <w:color w:val="231F20"/>
        </w:rPr>
        <w:t>备的银行将</w:t>
      </w:r>
      <w:r>
        <w:rPr>
          <w:rFonts w:ascii="Times New Roman" w:eastAsia="Times New Roman"/>
          <w:color w:val="231F20"/>
        </w:rPr>
        <w:t>2020</w:t>
      </w:r>
      <w:r>
        <w:rPr>
          <w:color w:val="231F20"/>
        </w:rPr>
        <w:t>年和</w:t>
      </w:r>
      <w:r>
        <w:rPr>
          <w:rFonts w:ascii="Times New Roman" w:eastAsia="Times New Roman"/>
          <w:color w:val="231F20"/>
        </w:rPr>
        <w:t>2021</w:t>
      </w:r>
      <w:r>
        <w:rPr>
          <w:color w:val="231F20"/>
        </w:rPr>
        <w:t>年预期信用损失模型和原模型计</w:t>
      </w:r>
      <w:proofErr w:type="gramStart"/>
      <w:r>
        <w:rPr>
          <w:color w:val="231F20"/>
        </w:rPr>
        <w:t>提拨</w:t>
      </w:r>
      <w:proofErr w:type="gramEnd"/>
      <w:r>
        <w:rPr>
          <w:color w:val="231F20"/>
        </w:rPr>
        <w:t>备的差额</w:t>
      </w:r>
      <w:r>
        <w:rPr>
          <w:rFonts w:ascii="Times New Roman" w:eastAsia="Times New Roman"/>
          <w:color w:val="231F20"/>
        </w:rPr>
        <w:t>100%</w:t>
      </w:r>
      <w:r>
        <w:rPr>
          <w:color w:val="231F20"/>
        </w:rPr>
        <w:t>计</w:t>
      </w:r>
      <w:proofErr w:type="gramStart"/>
      <w:r>
        <w:rPr>
          <w:color w:val="231F20"/>
        </w:rPr>
        <w:t>回核心</w:t>
      </w:r>
      <w:proofErr w:type="gramEnd"/>
      <w:r>
        <w:rPr>
          <w:color w:val="231F20"/>
        </w:rPr>
        <w:t>一级资本，并在后续三年线性扣减。</w:t>
      </w:r>
    </w:p>
    <w:p w:rsidR="00AC71A5" w:rsidRDefault="00AC71A5" w:rsidP="00AC71A5">
      <w:pPr>
        <w:pStyle w:val="3"/>
        <w:spacing w:before="164"/>
        <w:ind w:left="787"/>
      </w:pPr>
      <w:r>
        <w:rPr>
          <w:color w:val="231F20"/>
        </w:rPr>
        <w:t>（二）防范“大而不能倒”</w:t>
      </w:r>
    </w:p>
    <w:p w:rsidR="00AC71A5" w:rsidRDefault="00AC71A5" w:rsidP="00AC71A5">
      <w:pPr>
        <w:pStyle w:val="a5"/>
        <w:spacing w:before="9"/>
        <w:rPr>
          <w:sz w:val="22"/>
        </w:rPr>
      </w:pPr>
    </w:p>
    <w:p w:rsidR="00AC71A5" w:rsidRDefault="00AC71A5" w:rsidP="00AC71A5">
      <w:pPr>
        <w:pStyle w:val="a5"/>
        <w:ind w:left="816"/>
      </w:pPr>
      <w:r>
        <w:rPr>
          <w:color w:val="231F20"/>
          <w:spacing w:val="9"/>
        </w:rPr>
        <w:t>更新全球系统重要性银行名单。</w:t>
      </w:r>
      <w:r>
        <w:rPr>
          <w:rFonts w:ascii="Times New Roman" w:eastAsia="Times New Roman"/>
          <w:color w:val="231F20"/>
          <w:spacing w:val="9"/>
        </w:rPr>
        <w:t>2020</w:t>
      </w:r>
      <w:r>
        <w:rPr>
          <w:color w:val="231F20"/>
        </w:rPr>
        <w:t>年</w:t>
      </w:r>
    </w:p>
    <w:p w:rsidR="00AC71A5" w:rsidRDefault="00AC71A5" w:rsidP="00AC71A5">
      <w:pPr>
        <w:pStyle w:val="a5"/>
        <w:spacing w:before="151"/>
        <w:ind w:left="390"/>
      </w:pPr>
      <w:r>
        <w:rPr>
          <w:rFonts w:ascii="Times New Roman" w:eastAsia="Times New Roman"/>
          <w:color w:val="231F20"/>
          <w:spacing w:val="7"/>
        </w:rPr>
        <w:t>11</w:t>
      </w:r>
      <w:r>
        <w:rPr>
          <w:color w:val="231F20"/>
          <w:spacing w:val="11"/>
        </w:rPr>
        <w:t>月，金融稳定理事会（</w:t>
      </w:r>
      <w:r>
        <w:rPr>
          <w:rFonts w:ascii="Times New Roman" w:eastAsia="Times New Roman"/>
          <w:color w:val="231F20"/>
          <w:spacing w:val="11"/>
        </w:rPr>
        <w:t>FSB</w:t>
      </w:r>
      <w:r>
        <w:rPr>
          <w:color w:val="231F20"/>
          <w:spacing w:val="11"/>
        </w:rPr>
        <w:t>）公布了基于</w:t>
      </w:r>
    </w:p>
    <w:p w:rsidR="00AC71A5" w:rsidRDefault="00AC71A5" w:rsidP="00AC71A5">
      <w:pPr>
        <w:pStyle w:val="a5"/>
        <w:spacing w:before="151" w:line="374" w:lineRule="auto"/>
        <w:ind w:left="390" w:right="1408"/>
        <w:jc w:val="both"/>
      </w:pPr>
      <w:r>
        <w:rPr>
          <w:rFonts w:ascii="Times New Roman" w:eastAsia="Times New Roman"/>
          <w:color w:val="231F20"/>
          <w:spacing w:val="7"/>
        </w:rPr>
        <w:t>2019</w:t>
      </w:r>
      <w:r>
        <w:rPr>
          <w:color w:val="231F20"/>
          <w:spacing w:val="7"/>
        </w:rPr>
        <w:t>年末数据测算的</w:t>
      </w:r>
      <w:r>
        <w:rPr>
          <w:rFonts w:ascii="Times New Roman" w:eastAsia="Times New Roman"/>
          <w:color w:val="231F20"/>
          <w:spacing w:val="7"/>
        </w:rPr>
        <w:t>G-SIBs</w:t>
      </w:r>
      <w:r>
        <w:rPr>
          <w:color w:val="231F20"/>
          <w:spacing w:val="7"/>
        </w:rPr>
        <w:t>名单，</w:t>
      </w:r>
      <w:r>
        <w:rPr>
          <w:rFonts w:ascii="Times New Roman" w:eastAsia="Times New Roman"/>
          <w:color w:val="231F20"/>
          <w:spacing w:val="7"/>
        </w:rPr>
        <w:t>30</w:t>
      </w:r>
      <w:r>
        <w:rPr>
          <w:color w:val="231F20"/>
          <w:spacing w:val="7"/>
        </w:rPr>
        <w:t>家银行</w:t>
      </w:r>
      <w:r>
        <w:rPr>
          <w:color w:val="231F20"/>
          <w:spacing w:val="4"/>
        </w:rPr>
        <w:t>入选（见表</w:t>
      </w:r>
      <w:r>
        <w:rPr>
          <w:rFonts w:ascii="Times New Roman" w:eastAsia="Times New Roman"/>
          <w:color w:val="231F20"/>
          <w:spacing w:val="4"/>
        </w:rPr>
        <w:t>3-1</w:t>
      </w:r>
      <w:r>
        <w:rPr>
          <w:color w:val="231F20"/>
          <w:spacing w:val="4"/>
        </w:rPr>
        <w:t>），名单与</w:t>
      </w:r>
      <w:r>
        <w:rPr>
          <w:rFonts w:ascii="Times New Roman" w:eastAsia="Times New Roman"/>
          <w:color w:val="231F20"/>
          <w:spacing w:val="4"/>
        </w:rPr>
        <w:t>2019</w:t>
      </w:r>
      <w:r>
        <w:rPr>
          <w:color w:val="231F20"/>
          <w:spacing w:val="4"/>
        </w:rPr>
        <w:t>年相同，但个</w:t>
      </w:r>
      <w:r>
        <w:rPr>
          <w:color w:val="231F20"/>
          <w:spacing w:val="-2"/>
        </w:rPr>
        <w:t>别银行分组有所变化。其中，中国建设银行由</w:t>
      </w:r>
      <w:r>
        <w:rPr>
          <w:color w:val="231F20"/>
          <w:spacing w:val="3"/>
        </w:rPr>
        <w:t>第</w:t>
      </w:r>
      <w:r>
        <w:rPr>
          <w:rFonts w:ascii="Times New Roman" w:eastAsia="Times New Roman"/>
          <w:color w:val="231F20"/>
          <w:spacing w:val="3"/>
        </w:rPr>
        <w:t>1</w:t>
      </w:r>
      <w:r>
        <w:rPr>
          <w:color w:val="231F20"/>
          <w:spacing w:val="3"/>
        </w:rPr>
        <w:t>组升至第</w:t>
      </w:r>
      <w:r>
        <w:rPr>
          <w:rFonts w:ascii="Times New Roman" w:eastAsia="Times New Roman"/>
          <w:color w:val="231F20"/>
          <w:spacing w:val="3"/>
        </w:rPr>
        <w:t>2</w:t>
      </w:r>
      <w:r>
        <w:rPr>
          <w:color w:val="231F20"/>
          <w:spacing w:val="3"/>
        </w:rPr>
        <w:t>组；美国摩根大通集团由第</w:t>
      </w:r>
      <w:r>
        <w:rPr>
          <w:rFonts w:ascii="Times New Roman" w:eastAsia="Times New Roman"/>
          <w:color w:val="231F20"/>
          <w:spacing w:val="3"/>
        </w:rPr>
        <w:t>4</w:t>
      </w:r>
      <w:r>
        <w:rPr>
          <w:color w:val="231F20"/>
        </w:rPr>
        <w:t>组</w:t>
      </w:r>
      <w:r>
        <w:rPr>
          <w:color w:val="231F20"/>
          <w:spacing w:val="-2"/>
        </w:rPr>
        <w:t>降至第</w:t>
      </w:r>
      <w:r>
        <w:rPr>
          <w:rFonts w:ascii="Times New Roman" w:eastAsia="Times New Roman"/>
          <w:color w:val="231F20"/>
          <w:spacing w:val="-2"/>
        </w:rPr>
        <w:t>3</w:t>
      </w:r>
      <w:r>
        <w:rPr>
          <w:color w:val="231F20"/>
          <w:spacing w:val="-2"/>
        </w:rPr>
        <w:t>组，高盛集团和富国银行由第</w:t>
      </w:r>
      <w:r>
        <w:rPr>
          <w:rFonts w:ascii="Times New Roman" w:eastAsia="Times New Roman"/>
          <w:color w:val="231F20"/>
          <w:spacing w:val="-1"/>
        </w:rPr>
        <w:t>2</w:t>
      </w:r>
      <w:r>
        <w:rPr>
          <w:color w:val="231F20"/>
          <w:spacing w:val="-1"/>
        </w:rPr>
        <w:t>组降至</w:t>
      </w:r>
      <w:r>
        <w:rPr>
          <w:color w:val="231F20"/>
          <w:spacing w:val="3"/>
        </w:rPr>
        <w:t>第</w:t>
      </w:r>
      <w:r>
        <w:rPr>
          <w:rFonts w:ascii="Times New Roman" w:eastAsia="Times New Roman"/>
          <w:color w:val="231F20"/>
          <w:spacing w:val="3"/>
        </w:rPr>
        <w:t>1</w:t>
      </w:r>
      <w:r>
        <w:rPr>
          <w:color w:val="231F20"/>
          <w:spacing w:val="3"/>
        </w:rPr>
        <w:t>组。每年</w:t>
      </w:r>
      <w:r>
        <w:rPr>
          <w:rFonts w:ascii="Times New Roman" w:eastAsia="Times New Roman"/>
          <w:color w:val="231F20"/>
        </w:rPr>
        <w:t>11</w:t>
      </w:r>
      <w:r>
        <w:rPr>
          <w:color w:val="231F20"/>
          <w:spacing w:val="3"/>
        </w:rPr>
        <w:t>月</w:t>
      </w:r>
      <w:r>
        <w:rPr>
          <w:rFonts w:ascii="Times New Roman" w:eastAsia="Times New Roman"/>
          <w:color w:val="231F20"/>
          <w:spacing w:val="3"/>
        </w:rPr>
        <w:t>G-SIBs</w:t>
      </w:r>
      <w:r>
        <w:rPr>
          <w:color w:val="231F20"/>
          <w:spacing w:val="2"/>
        </w:rPr>
        <w:t>名单更新后，入选的</w:t>
      </w:r>
      <w:r>
        <w:rPr>
          <w:color w:val="231F20"/>
          <w:spacing w:val="-3"/>
        </w:rPr>
        <w:t>银行将于</w:t>
      </w:r>
      <w:r>
        <w:rPr>
          <w:rFonts w:ascii="Times New Roman" w:eastAsia="Times New Roman"/>
          <w:color w:val="231F20"/>
          <w:spacing w:val="-3"/>
        </w:rPr>
        <w:t>14</w:t>
      </w:r>
      <w:r>
        <w:rPr>
          <w:color w:val="231F20"/>
          <w:spacing w:val="-3"/>
        </w:rPr>
        <w:t>个月后开始实施更高的资本要求。</w:t>
      </w:r>
    </w:p>
    <w:p w:rsidR="00AC71A5" w:rsidRDefault="00AC71A5" w:rsidP="00AC71A5">
      <w:pPr>
        <w:spacing w:line="374" w:lineRule="auto"/>
        <w:jc w:val="both"/>
        <w:sectPr w:rsidR="00AC71A5">
          <w:type w:val="continuous"/>
          <w:pgSz w:w="11910" w:h="16160"/>
          <w:pgMar w:top="1520" w:right="0" w:bottom="280" w:left="520" w:header="720" w:footer="720" w:gutter="0"/>
          <w:cols w:num="2" w:space="720" w:equalWidth="0">
            <w:col w:w="5371" w:space="40"/>
            <w:col w:w="5979"/>
          </w:cols>
        </w:sectPr>
      </w:pPr>
    </w:p>
    <w:p w:rsidR="00AC71A5" w:rsidRDefault="00AC71A5" w:rsidP="00AC71A5">
      <w:pPr>
        <w:pStyle w:val="a5"/>
        <w:spacing w:before="12"/>
        <w:rPr>
          <w:sz w:val="7"/>
        </w:rPr>
      </w:pPr>
    </w:p>
    <w:p w:rsidR="00AC71A5" w:rsidRDefault="00AC71A5" w:rsidP="00AC71A5">
      <w:pPr>
        <w:tabs>
          <w:tab w:val="left" w:pos="4615"/>
        </w:tabs>
        <w:spacing w:before="81"/>
        <w:ind w:left="1588"/>
        <w:rPr>
          <w:sz w:val="21"/>
        </w:rPr>
      </w:pPr>
      <w:r>
        <w:rPr>
          <w:color w:val="0A376A"/>
          <w:sz w:val="21"/>
        </w:rPr>
        <w:t>表</w:t>
      </w:r>
      <w:r>
        <w:rPr>
          <w:rFonts w:ascii="Times New Roman" w:eastAsia="Times New Roman"/>
          <w:b/>
          <w:color w:val="0A376A"/>
          <w:sz w:val="21"/>
        </w:rPr>
        <w:t>3-1</w:t>
      </w:r>
      <w:r>
        <w:rPr>
          <w:rFonts w:ascii="Times New Roman" w:eastAsia="Times New Roman"/>
          <w:b/>
          <w:color w:val="0A376A"/>
          <w:sz w:val="21"/>
        </w:rPr>
        <w:tab/>
      </w:r>
      <w:r>
        <w:rPr>
          <w:color w:val="0A376A"/>
          <w:sz w:val="21"/>
        </w:rPr>
        <w:t>全球系统重要性银行</w:t>
      </w:r>
    </w:p>
    <w:p w:rsidR="00AC71A5" w:rsidRDefault="00AC71A5" w:rsidP="00AC71A5">
      <w:pPr>
        <w:pStyle w:val="a5"/>
        <w:spacing w:before="10"/>
        <w:rPr>
          <w:sz w:val="8"/>
        </w:rPr>
      </w:pPr>
    </w:p>
    <w:tbl>
      <w:tblPr>
        <w:tblStyle w:val="TableNormal"/>
        <w:tblW w:w="0" w:type="auto"/>
        <w:tblInd w:w="118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3528"/>
        <w:gridCol w:w="5259"/>
      </w:tblGrid>
      <w:tr w:rsidR="00AC71A5" w:rsidTr="00146536">
        <w:trPr>
          <w:trHeight w:val="585"/>
        </w:trPr>
        <w:tc>
          <w:tcPr>
            <w:tcW w:w="3528" w:type="dxa"/>
            <w:tcBorders>
              <w:top w:val="nil"/>
              <w:left w:val="nil"/>
            </w:tcBorders>
            <w:shd w:val="clear" w:color="auto" w:fill="0A376A"/>
          </w:tcPr>
          <w:p w:rsidR="00AC71A5" w:rsidRDefault="00AC71A5" w:rsidP="00146536">
            <w:pPr>
              <w:pStyle w:val="TableParagraph"/>
              <w:spacing w:before="59"/>
              <w:ind w:left="1024" w:right="1019"/>
              <w:jc w:val="center"/>
              <w:rPr>
                <w:sz w:val="18"/>
                <w:lang w:eastAsia="zh-CN"/>
              </w:rPr>
            </w:pPr>
            <w:r>
              <w:rPr>
                <w:color w:val="FFFFFF"/>
                <w:sz w:val="18"/>
                <w:lang w:eastAsia="zh-CN"/>
              </w:rPr>
              <w:t>组别</w:t>
            </w:r>
          </w:p>
          <w:p w:rsidR="00AC71A5" w:rsidRDefault="00AC71A5" w:rsidP="00146536">
            <w:pPr>
              <w:pStyle w:val="TableParagraph"/>
              <w:spacing w:before="10"/>
              <w:ind w:left="1024" w:right="1019"/>
              <w:jc w:val="center"/>
              <w:rPr>
                <w:sz w:val="18"/>
                <w:lang w:eastAsia="zh-CN"/>
              </w:rPr>
            </w:pPr>
            <w:r>
              <w:rPr>
                <w:color w:val="FFFFFF"/>
                <w:sz w:val="18"/>
                <w:lang w:eastAsia="zh-CN"/>
              </w:rPr>
              <w:t>（附加资本要求）</w:t>
            </w:r>
          </w:p>
        </w:tc>
        <w:tc>
          <w:tcPr>
            <w:tcW w:w="5259" w:type="dxa"/>
            <w:tcBorders>
              <w:top w:val="nil"/>
              <w:right w:val="nil"/>
            </w:tcBorders>
            <w:shd w:val="clear" w:color="auto" w:fill="0A376A"/>
          </w:tcPr>
          <w:p w:rsidR="00AC71A5" w:rsidRDefault="00AC71A5" w:rsidP="00146536">
            <w:pPr>
              <w:pStyle w:val="TableParagraph"/>
              <w:spacing w:before="179"/>
              <w:ind w:left="1706" w:right="1708"/>
              <w:jc w:val="center"/>
              <w:rPr>
                <w:sz w:val="18"/>
              </w:rPr>
            </w:pPr>
            <w:proofErr w:type="spellStart"/>
            <w:r>
              <w:rPr>
                <w:color w:val="FFFFFF"/>
                <w:sz w:val="18"/>
              </w:rPr>
              <w:t>全球系统重要性银行</w:t>
            </w:r>
            <w:proofErr w:type="spellEnd"/>
          </w:p>
        </w:tc>
      </w:tr>
      <w:tr w:rsidR="00AC71A5" w:rsidTr="00146536">
        <w:trPr>
          <w:trHeight w:val="580"/>
        </w:trPr>
        <w:tc>
          <w:tcPr>
            <w:tcW w:w="3528" w:type="dxa"/>
            <w:tcBorders>
              <w:left w:val="nil"/>
            </w:tcBorders>
            <w:shd w:val="clear" w:color="auto" w:fill="D4E3F5"/>
          </w:tcPr>
          <w:p w:rsidR="00AC71A5" w:rsidRDefault="00AC71A5" w:rsidP="00146536">
            <w:pPr>
              <w:pStyle w:val="TableParagraph"/>
              <w:spacing w:before="54"/>
              <w:ind w:left="5"/>
              <w:jc w:val="center"/>
              <w:rPr>
                <w:sz w:val="18"/>
              </w:rPr>
            </w:pPr>
            <w:r>
              <w:rPr>
                <w:color w:val="231F20"/>
                <w:w w:val="99"/>
                <w:sz w:val="18"/>
              </w:rPr>
              <w:t>5</w:t>
            </w:r>
          </w:p>
          <w:p w:rsidR="00AC71A5" w:rsidRDefault="00AC71A5" w:rsidP="00146536">
            <w:pPr>
              <w:pStyle w:val="TableParagraph"/>
              <w:spacing w:before="10"/>
              <w:ind w:left="1024" w:right="1019"/>
              <w:jc w:val="center"/>
              <w:rPr>
                <w:sz w:val="18"/>
              </w:rPr>
            </w:pPr>
            <w:r>
              <w:rPr>
                <w:color w:val="231F20"/>
                <w:sz w:val="18"/>
              </w:rPr>
              <w:t>（3.5%）</w:t>
            </w:r>
          </w:p>
        </w:tc>
        <w:tc>
          <w:tcPr>
            <w:tcW w:w="5259" w:type="dxa"/>
            <w:tcBorders>
              <w:right w:val="nil"/>
            </w:tcBorders>
            <w:shd w:val="clear" w:color="auto" w:fill="D4E3F5"/>
          </w:tcPr>
          <w:p w:rsidR="00AC71A5" w:rsidRDefault="00AC71A5" w:rsidP="00146536">
            <w:pPr>
              <w:pStyle w:val="TableParagraph"/>
              <w:spacing w:before="174"/>
              <w:ind w:right="2"/>
              <w:jc w:val="center"/>
              <w:rPr>
                <w:sz w:val="18"/>
              </w:rPr>
            </w:pPr>
            <w:r>
              <w:rPr>
                <w:color w:val="231F20"/>
                <w:sz w:val="18"/>
              </w:rPr>
              <w:t>空</w:t>
            </w:r>
          </w:p>
        </w:tc>
      </w:tr>
      <w:tr w:rsidR="00AC71A5" w:rsidTr="00146536">
        <w:trPr>
          <w:trHeight w:val="580"/>
        </w:trPr>
        <w:tc>
          <w:tcPr>
            <w:tcW w:w="3528" w:type="dxa"/>
            <w:tcBorders>
              <w:left w:val="nil"/>
            </w:tcBorders>
            <w:shd w:val="clear" w:color="auto" w:fill="D4E3F5"/>
          </w:tcPr>
          <w:p w:rsidR="00AC71A5" w:rsidRDefault="00AC71A5" w:rsidP="00146536">
            <w:pPr>
              <w:pStyle w:val="TableParagraph"/>
              <w:spacing w:before="54"/>
              <w:ind w:left="5"/>
              <w:jc w:val="center"/>
              <w:rPr>
                <w:sz w:val="18"/>
              </w:rPr>
            </w:pPr>
            <w:r>
              <w:rPr>
                <w:color w:val="231F20"/>
                <w:w w:val="99"/>
                <w:sz w:val="18"/>
              </w:rPr>
              <w:t>4</w:t>
            </w:r>
          </w:p>
          <w:p w:rsidR="00AC71A5" w:rsidRDefault="00AC71A5" w:rsidP="00146536">
            <w:pPr>
              <w:pStyle w:val="TableParagraph"/>
              <w:spacing w:before="10"/>
              <w:ind w:left="1024" w:right="1019"/>
              <w:jc w:val="center"/>
              <w:rPr>
                <w:sz w:val="18"/>
              </w:rPr>
            </w:pPr>
            <w:r>
              <w:rPr>
                <w:color w:val="231F20"/>
                <w:sz w:val="18"/>
              </w:rPr>
              <w:t>（2.5%）</w:t>
            </w:r>
          </w:p>
        </w:tc>
        <w:tc>
          <w:tcPr>
            <w:tcW w:w="5259" w:type="dxa"/>
            <w:tcBorders>
              <w:right w:val="nil"/>
            </w:tcBorders>
            <w:shd w:val="clear" w:color="auto" w:fill="D4E3F5"/>
          </w:tcPr>
          <w:p w:rsidR="00AC71A5" w:rsidRDefault="00AC71A5" w:rsidP="00146536">
            <w:pPr>
              <w:pStyle w:val="TableParagraph"/>
              <w:spacing w:before="174"/>
              <w:ind w:right="2"/>
              <w:jc w:val="center"/>
              <w:rPr>
                <w:sz w:val="18"/>
              </w:rPr>
            </w:pPr>
            <w:r>
              <w:rPr>
                <w:color w:val="231F20"/>
                <w:sz w:val="18"/>
              </w:rPr>
              <w:t>空</w:t>
            </w:r>
          </w:p>
        </w:tc>
      </w:tr>
      <w:tr w:rsidR="00AC71A5" w:rsidTr="00146536">
        <w:trPr>
          <w:trHeight w:val="340"/>
        </w:trPr>
        <w:tc>
          <w:tcPr>
            <w:tcW w:w="3528" w:type="dxa"/>
            <w:vMerge w:val="restart"/>
            <w:tcBorders>
              <w:left w:val="nil"/>
            </w:tcBorders>
            <w:shd w:val="clear" w:color="auto" w:fill="D4E3F5"/>
          </w:tcPr>
          <w:p w:rsidR="00AC71A5" w:rsidRDefault="00AC71A5" w:rsidP="00146536">
            <w:pPr>
              <w:pStyle w:val="TableParagraph"/>
              <w:spacing w:before="2"/>
              <w:jc w:val="left"/>
            </w:pPr>
          </w:p>
          <w:p w:rsidR="00AC71A5" w:rsidRDefault="00AC71A5" w:rsidP="00146536">
            <w:pPr>
              <w:pStyle w:val="TableParagraph"/>
              <w:spacing w:before="1"/>
              <w:ind w:left="5"/>
              <w:jc w:val="center"/>
              <w:rPr>
                <w:sz w:val="18"/>
              </w:rPr>
            </w:pPr>
            <w:r>
              <w:rPr>
                <w:color w:val="231F20"/>
                <w:w w:val="99"/>
                <w:sz w:val="18"/>
              </w:rPr>
              <w:t>3</w:t>
            </w:r>
          </w:p>
          <w:p w:rsidR="00AC71A5" w:rsidRDefault="00AC71A5" w:rsidP="00146536">
            <w:pPr>
              <w:pStyle w:val="TableParagraph"/>
              <w:spacing w:before="9"/>
              <w:ind w:left="1024" w:right="1019"/>
              <w:jc w:val="center"/>
              <w:rPr>
                <w:sz w:val="18"/>
              </w:rPr>
            </w:pPr>
            <w:r>
              <w:rPr>
                <w:color w:val="231F20"/>
                <w:sz w:val="18"/>
              </w:rPr>
              <w:t>（2.0%）</w:t>
            </w:r>
          </w:p>
        </w:tc>
        <w:tc>
          <w:tcPr>
            <w:tcW w:w="5259" w:type="dxa"/>
            <w:tcBorders>
              <w:right w:val="nil"/>
            </w:tcBorders>
            <w:shd w:val="clear" w:color="auto" w:fill="D4E3F5"/>
          </w:tcPr>
          <w:p w:rsidR="00AC71A5" w:rsidRDefault="00AC71A5" w:rsidP="00146536">
            <w:pPr>
              <w:pStyle w:val="TableParagraph"/>
              <w:spacing w:before="54"/>
              <w:ind w:left="1706" w:right="1708"/>
              <w:jc w:val="center"/>
              <w:rPr>
                <w:sz w:val="18"/>
              </w:rPr>
            </w:pPr>
            <w:proofErr w:type="spellStart"/>
            <w:r>
              <w:rPr>
                <w:color w:val="231F20"/>
                <w:sz w:val="18"/>
              </w:rPr>
              <w:t>美国花旗银行</w:t>
            </w:r>
            <w:proofErr w:type="spellEnd"/>
          </w:p>
        </w:tc>
      </w:tr>
      <w:tr w:rsidR="00AC71A5" w:rsidTr="00146536">
        <w:trPr>
          <w:trHeight w:val="340"/>
        </w:trPr>
        <w:tc>
          <w:tcPr>
            <w:tcW w:w="3528" w:type="dxa"/>
            <w:vMerge/>
            <w:tcBorders>
              <w:top w:val="nil"/>
              <w:left w:val="nil"/>
            </w:tcBorders>
            <w:shd w:val="clear" w:color="auto" w:fill="D4E3F5"/>
          </w:tcPr>
          <w:p w:rsidR="00AC71A5" w:rsidRDefault="00AC71A5" w:rsidP="00146536">
            <w:pPr>
              <w:rPr>
                <w:sz w:val="2"/>
                <w:szCs w:val="2"/>
              </w:rPr>
            </w:pPr>
          </w:p>
        </w:tc>
        <w:tc>
          <w:tcPr>
            <w:tcW w:w="5259" w:type="dxa"/>
            <w:tcBorders>
              <w:right w:val="nil"/>
            </w:tcBorders>
            <w:shd w:val="clear" w:color="auto" w:fill="D4E3F5"/>
          </w:tcPr>
          <w:p w:rsidR="00AC71A5" w:rsidRDefault="00AC71A5" w:rsidP="00146536">
            <w:pPr>
              <w:pStyle w:val="TableParagraph"/>
              <w:spacing w:before="54"/>
              <w:ind w:left="1706" w:right="1708"/>
              <w:jc w:val="center"/>
              <w:rPr>
                <w:sz w:val="18"/>
              </w:rPr>
            </w:pPr>
            <w:proofErr w:type="spellStart"/>
            <w:r>
              <w:rPr>
                <w:color w:val="231F20"/>
                <w:sz w:val="18"/>
              </w:rPr>
              <w:t>英国汇丰银行</w:t>
            </w:r>
            <w:proofErr w:type="spellEnd"/>
          </w:p>
        </w:tc>
      </w:tr>
      <w:tr w:rsidR="00AC71A5" w:rsidTr="00146536">
        <w:trPr>
          <w:trHeight w:val="340"/>
        </w:trPr>
        <w:tc>
          <w:tcPr>
            <w:tcW w:w="3528" w:type="dxa"/>
            <w:vMerge/>
            <w:tcBorders>
              <w:top w:val="nil"/>
              <w:left w:val="nil"/>
            </w:tcBorders>
            <w:shd w:val="clear" w:color="auto" w:fill="D4E3F5"/>
          </w:tcPr>
          <w:p w:rsidR="00AC71A5" w:rsidRDefault="00AC71A5" w:rsidP="00146536">
            <w:pPr>
              <w:rPr>
                <w:sz w:val="2"/>
                <w:szCs w:val="2"/>
              </w:rPr>
            </w:pPr>
          </w:p>
        </w:tc>
        <w:tc>
          <w:tcPr>
            <w:tcW w:w="5259" w:type="dxa"/>
            <w:tcBorders>
              <w:right w:val="nil"/>
            </w:tcBorders>
            <w:shd w:val="clear" w:color="auto" w:fill="D4E3F5"/>
          </w:tcPr>
          <w:p w:rsidR="00AC71A5" w:rsidRDefault="00AC71A5" w:rsidP="00146536">
            <w:pPr>
              <w:pStyle w:val="TableParagraph"/>
              <w:spacing w:before="54"/>
              <w:ind w:left="1706" w:right="1708"/>
              <w:jc w:val="center"/>
              <w:rPr>
                <w:sz w:val="18"/>
              </w:rPr>
            </w:pPr>
            <w:proofErr w:type="spellStart"/>
            <w:r>
              <w:rPr>
                <w:color w:val="231F20"/>
                <w:sz w:val="18"/>
              </w:rPr>
              <w:t>美国摩根大通集团</w:t>
            </w:r>
            <w:proofErr w:type="spellEnd"/>
          </w:p>
        </w:tc>
      </w:tr>
    </w:tbl>
    <w:p w:rsidR="00AC71A5" w:rsidRDefault="00AC71A5" w:rsidP="00AC71A5">
      <w:pPr>
        <w:jc w:val="center"/>
        <w:rPr>
          <w:sz w:val="18"/>
        </w:rPr>
        <w:sectPr w:rsidR="00AC71A5">
          <w:type w:val="continuous"/>
          <w:pgSz w:w="11910" w:h="16160"/>
          <w:pgMar w:top="1520" w:right="0" w:bottom="280" w:left="520" w:header="720" w:footer="720" w:gutter="0"/>
          <w:cols w:space="720"/>
        </w:sectPr>
      </w:pPr>
    </w:p>
    <w:p w:rsidR="00AC71A5" w:rsidRDefault="00AC71A5" w:rsidP="00AC71A5">
      <w:pPr>
        <w:pStyle w:val="a5"/>
        <w:rPr>
          <w:sz w:val="20"/>
        </w:rPr>
      </w:pPr>
    </w:p>
    <w:p w:rsidR="00AC71A5" w:rsidRDefault="00AC71A5" w:rsidP="00AC71A5">
      <w:pPr>
        <w:pStyle w:val="a5"/>
        <w:spacing w:before="4"/>
        <w:rPr>
          <w:sz w:val="16"/>
        </w:rPr>
      </w:pPr>
    </w:p>
    <w:p w:rsidR="00AC71A5" w:rsidRDefault="00AC71A5" w:rsidP="00AC71A5">
      <w:pPr>
        <w:pStyle w:val="a5"/>
        <w:spacing w:before="72" w:after="44"/>
        <w:ind w:right="2152"/>
        <w:jc w:val="right"/>
      </w:pPr>
      <w:r>
        <w:rPr>
          <w:color w:val="231F20"/>
        </w:rPr>
        <w:t>续表</w:t>
      </w:r>
    </w:p>
    <w:tbl>
      <w:tblPr>
        <w:tblStyle w:val="TableNormal"/>
        <w:tblW w:w="0" w:type="auto"/>
        <w:tblInd w:w="90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3528"/>
        <w:gridCol w:w="5259"/>
      </w:tblGrid>
      <w:tr w:rsidR="00AC71A5" w:rsidTr="00146536">
        <w:trPr>
          <w:trHeight w:val="585"/>
        </w:trPr>
        <w:tc>
          <w:tcPr>
            <w:tcW w:w="3528" w:type="dxa"/>
            <w:tcBorders>
              <w:top w:val="nil"/>
              <w:left w:val="nil"/>
            </w:tcBorders>
            <w:shd w:val="clear" w:color="auto" w:fill="0A376A"/>
          </w:tcPr>
          <w:p w:rsidR="00AC71A5" w:rsidRDefault="00AC71A5" w:rsidP="00146536">
            <w:pPr>
              <w:pStyle w:val="TableParagraph"/>
              <w:spacing w:before="59"/>
              <w:ind w:left="1024" w:right="1019"/>
              <w:jc w:val="center"/>
              <w:rPr>
                <w:sz w:val="18"/>
                <w:lang w:eastAsia="zh-CN"/>
              </w:rPr>
            </w:pPr>
            <w:r>
              <w:rPr>
                <w:color w:val="FFFFFF"/>
                <w:sz w:val="18"/>
                <w:lang w:eastAsia="zh-CN"/>
              </w:rPr>
              <w:t>组别</w:t>
            </w:r>
          </w:p>
          <w:p w:rsidR="00AC71A5" w:rsidRDefault="00AC71A5" w:rsidP="00146536">
            <w:pPr>
              <w:pStyle w:val="TableParagraph"/>
              <w:spacing w:before="10"/>
              <w:ind w:left="1024" w:right="1019"/>
              <w:jc w:val="center"/>
              <w:rPr>
                <w:sz w:val="18"/>
                <w:lang w:eastAsia="zh-CN"/>
              </w:rPr>
            </w:pPr>
            <w:r>
              <w:rPr>
                <w:color w:val="FFFFFF"/>
                <w:sz w:val="18"/>
                <w:lang w:eastAsia="zh-CN"/>
              </w:rPr>
              <w:t>（附加资本要求）</w:t>
            </w:r>
          </w:p>
        </w:tc>
        <w:tc>
          <w:tcPr>
            <w:tcW w:w="5259" w:type="dxa"/>
            <w:tcBorders>
              <w:top w:val="nil"/>
              <w:right w:val="nil"/>
            </w:tcBorders>
            <w:shd w:val="clear" w:color="auto" w:fill="0A376A"/>
          </w:tcPr>
          <w:p w:rsidR="00AC71A5" w:rsidRDefault="00AC71A5" w:rsidP="00146536">
            <w:pPr>
              <w:pStyle w:val="TableParagraph"/>
              <w:spacing w:before="179"/>
              <w:ind w:left="1706" w:right="1708"/>
              <w:jc w:val="center"/>
              <w:rPr>
                <w:sz w:val="18"/>
              </w:rPr>
            </w:pPr>
            <w:proofErr w:type="spellStart"/>
            <w:r>
              <w:rPr>
                <w:color w:val="FFFFFF"/>
                <w:sz w:val="18"/>
              </w:rPr>
              <w:t>全球系统重要性银行</w:t>
            </w:r>
            <w:proofErr w:type="spellEnd"/>
          </w:p>
        </w:tc>
      </w:tr>
      <w:tr w:rsidR="00AC71A5" w:rsidTr="00146536">
        <w:trPr>
          <w:trHeight w:val="340"/>
        </w:trPr>
        <w:tc>
          <w:tcPr>
            <w:tcW w:w="3528" w:type="dxa"/>
            <w:vMerge w:val="restart"/>
            <w:tcBorders>
              <w:left w:val="nil"/>
            </w:tcBorders>
            <w:shd w:val="clear" w:color="auto" w:fill="D4E3F5"/>
          </w:tcPr>
          <w:p w:rsidR="00AC71A5" w:rsidRDefault="00AC71A5" w:rsidP="00146536">
            <w:pPr>
              <w:pStyle w:val="TableParagraph"/>
              <w:spacing w:before="0"/>
              <w:jc w:val="left"/>
              <w:rPr>
                <w:sz w:val="20"/>
              </w:rPr>
            </w:pPr>
          </w:p>
          <w:p w:rsidR="00AC71A5" w:rsidRDefault="00AC71A5" w:rsidP="00146536">
            <w:pPr>
              <w:pStyle w:val="TableParagraph"/>
              <w:spacing w:before="0"/>
              <w:jc w:val="left"/>
              <w:rPr>
                <w:sz w:val="20"/>
              </w:rPr>
            </w:pPr>
          </w:p>
          <w:p w:rsidR="00AC71A5" w:rsidRDefault="00AC71A5" w:rsidP="00146536">
            <w:pPr>
              <w:pStyle w:val="TableParagraph"/>
              <w:spacing w:before="0"/>
              <w:jc w:val="left"/>
              <w:rPr>
                <w:sz w:val="20"/>
              </w:rPr>
            </w:pPr>
          </w:p>
          <w:p w:rsidR="00AC71A5" w:rsidRDefault="00AC71A5" w:rsidP="00146536">
            <w:pPr>
              <w:pStyle w:val="TableParagraph"/>
              <w:spacing w:before="0"/>
              <w:jc w:val="left"/>
              <w:rPr>
                <w:sz w:val="20"/>
              </w:rPr>
            </w:pPr>
          </w:p>
          <w:p w:rsidR="00AC71A5" w:rsidRDefault="00AC71A5" w:rsidP="00146536">
            <w:pPr>
              <w:pStyle w:val="TableParagraph"/>
              <w:spacing w:before="135"/>
              <w:ind w:left="5"/>
              <w:jc w:val="center"/>
              <w:rPr>
                <w:sz w:val="18"/>
              </w:rPr>
            </w:pPr>
            <w:r>
              <w:rPr>
                <w:color w:val="231F20"/>
                <w:w w:val="99"/>
                <w:sz w:val="18"/>
              </w:rPr>
              <w:t>2</w:t>
            </w:r>
          </w:p>
          <w:p w:rsidR="00AC71A5" w:rsidRDefault="00AC71A5" w:rsidP="00146536">
            <w:pPr>
              <w:pStyle w:val="TableParagraph"/>
              <w:spacing w:before="9"/>
              <w:ind w:left="1024" w:right="1019"/>
              <w:jc w:val="center"/>
              <w:rPr>
                <w:sz w:val="18"/>
              </w:rPr>
            </w:pPr>
            <w:r>
              <w:rPr>
                <w:color w:val="231F20"/>
                <w:sz w:val="18"/>
              </w:rPr>
              <w:t>（1.5%）</w:t>
            </w:r>
          </w:p>
        </w:tc>
        <w:tc>
          <w:tcPr>
            <w:tcW w:w="5259" w:type="dxa"/>
            <w:tcBorders>
              <w:right w:val="nil"/>
            </w:tcBorders>
            <w:shd w:val="clear" w:color="auto" w:fill="D4E3F5"/>
          </w:tcPr>
          <w:p w:rsidR="00AC71A5" w:rsidRDefault="00AC71A5" w:rsidP="00146536">
            <w:pPr>
              <w:pStyle w:val="TableParagraph"/>
              <w:spacing w:before="54"/>
              <w:ind w:left="1706" w:right="1708"/>
              <w:jc w:val="center"/>
              <w:rPr>
                <w:sz w:val="18"/>
              </w:rPr>
            </w:pPr>
            <w:proofErr w:type="spellStart"/>
            <w:r>
              <w:rPr>
                <w:color w:val="231F20"/>
                <w:sz w:val="18"/>
              </w:rPr>
              <w:t>美国银行</w:t>
            </w:r>
            <w:proofErr w:type="spellEnd"/>
          </w:p>
        </w:tc>
      </w:tr>
      <w:tr w:rsidR="00AC71A5" w:rsidTr="00146536">
        <w:trPr>
          <w:trHeight w:val="340"/>
        </w:trPr>
        <w:tc>
          <w:tcPr>
            <w:tcW w:w="3528" w:type="dxa"/>
            <w:vMerge/>
            <w:tcBorders>
              <w:top w:val="nil"/>
              <w:left w:val="nil"/>
            </w:tcBorders>
            <w:shd w:val="clear" w:color="auto" w:fill="D4E3F5"/>
          </w:tcPr>
          <w:p w:rsidR="00AC71A5" w:rsidRDefault="00AC71A5" w:rsidP="00146536">
            <w:pPr>
              <w:rPr>
                <w:sz w:val="2"/>
                <w:szCs w:val="2"/>
              </w:rPr>
            </w:pPr>
          </w:p>
        </w:tc>
        <w:tc>
          <w:tcPr>
            <w:tcW w:w="5259" w:type="dxa"/>
            <w:tcBorders>
              <w:right w:val="nil"/>
            </w:tcBorders>
            <w:shd w:val="clear" w:color="auto" w:fill="D4E3F5"/>
          </w:tcPr>
          <w:p w:rsidR="00AC71A5" w:rsidRDefault="00AC71A5" w:rsidP="00146536">
            <w:pPr>
              <w:pStyle w:val="TableParagraph"/>
              <w:spacing w:before="54"/>
              <w:ind w:left="1706" w:right="1708"/>
              <w:jc w:val="center"/>
              <w:rPr>
                <w:sz w:val="18"/>
              </w:rPr>
            </w:pPr>
            <w:proofErr w:type="spellStart"/>
            <w:r>
              <w:rPr>
                <w:color w:val="231F20"/>
                <w:sz w:val="18"/>
              </w:rPr>
              <w:t>中国银行</w:t>
            </w:r>
            <w:proofErr w:type="spellEnd"/>
          </w:p>
        </w:tc>
      </w:tr>
      <w:tr w:rsidR="00AC71A5" w:rsidTr="00146536">
        <w:trPr>
          <w:trHeight w:val="340"/>
        </w:trPr>
        <w:tc>
          <w:tcPr>
            <w:tcW w:w="3528" w:type="dxa"/>
            <w:vMerge/>
            <w:tcBorders>
              <w:top w:val="nil"/>
              <w:left w:val="nil"/>
            </w:tcBorders>
            <w:shd w:val="clear" w:color="auto" w:fill="D4E3F5"/>
          </w:tcPr>
          <w:p w:rsidR="00AC71A5" w:rsidRDefault="00AC71A5" w:rsidP="00146536">
            <w:pPr>
              <w:rPr>
                <w:sz w:val="2"/>
                <w:szCs w:val="2"/>
              </w:rPr>
            </w:pPr>
          </w:p>
        </w:tc>
        <w:tc>
          <w:tcPr>
            <w:tcW w:w="5259" w:type="dxa"/>
            <w:tcBorders>
              <w:right w:val="nil"/>
            </w:tcBorders>
            <w:shd w:val="clear" w:color="auto" w:fill="D4E3F5"/>
          </w:tcPr>
          <w:p w:rsidR="00AC71A5" w:rsidRDefault="00AC71A5" w:rsidP="00146536">
            <w:pPr>
              <w:pStyle w:val="TableParagraph"/>
              <w:spacing w:before="54"/>
              <w:ind w:left="1706" w:right="1708"/>
              <w:jc w:val="center"/>
              <w:rPr>
                <w:sz w:val="18"/>
              </w:rPr>
            </w:pPr>
            <w:proofErr w:type="spellStart"/>
            <w:r>
              <w:rPr>
                <w:color w:val="231F20"/>
                <w:sz w:val="18"/>
              </w:rPr>
              <w:t>英国巴克莱银行</w:t>
            </w:r>
            <w:proofErr w:type="spellEnd"/>
          </w:p>
        </w:tc>
      </w:tr>
      <w:tr w:rsidR="00AC71A5" w:rsidTr="00146536">
        <w:trPr>
          <w:trHeight w:val="340"/>
        </w:trPr>
        <w:tc>
          <w:tcPr>
            <w:tcW w:w="3528" w:type="dxa"/>
            <w:vMerge/>
            <w:tcBorders>
              <w:top w:val="nil"/>
              <w:left w:val="nil"/>
            </w:tcBorders>
            <w:shd w:val="clear" w:color="auto" w:fill="D4E3F5"/>
          </w:tcPr>
          <w:p w:rsidR="00AC71A5" w:rsidRDefault="00AC71A5" w:rsidP="00146536">
            <w:pPr>
              <w:rPr>
                <w:sz w:val="2"/>
                <w:szCs w:val="2"/>
              </w:rPr>
            </w:pPr>
          </w:p>
        </w:tc>
        <w:tc>
          <w:tcPr>
            <w:tcW w:w="5259" w:type="dxa"/>
            <w:tcBorders>
              <w:right w:val="nil"/>
            </w:tcBorders>
            <w:shd w:val="clear" w:color="auto" w:fill="D4E3F5"/>
          </w:tcPr>
          <w:p w:rsidR="00AC71A5" w:rsidRDefault="00AC71A5" w:rsidP="00146536">
            <w:pPr>
              <w:pStyle w:val="TableParagraph"/>
              <w:spacing w:before="54"/>
              <w:ind w:left="1706" w:right="1708"/>
              <w:jc w:val="center"/>
              <w:rPr>
                <w:sz w:val="18"/>
              </w:rPr>
            </w:pPr>
            <w:proofErr w:type="spellStart"/>
            <w:r>
              <w:rPr>
                <w:color w:val="231F20"/>
                <w:sz w:val="18"/>
              </w:rPr>
              <w:t>法国巴黎银行</w:t>
            </w:r>
            <w:proofErr w:type="spellEnd"/>
          </w:p>
        </w:tc>
      </w:tr>
      <w:tr w:rsidR="00AC71A5" w:rsidTr="00146536">
        <w:trPr>
          <w:trHeight w:val="340"/>
        </w:trPr>
        <w:tc>
          <w:tcPr>
            <w:tcW w:w="3528" w:type="dxa"/>
            <w:vMerge/>
            <w:tcBorders>
              <w:top w:val="nil"/>
              <w:left w:val="nil"/>
            </w:tcBorders>
            <w:shd w:val="clear" w:color="auto" w:fill="D4E3F5"/>
          </w:tcPr>
          <w:p w:rsidR="00AC71A5" w:rsidRDefault="00AC71A5" w:rsidP="00146536">
            <w:pPr>
              <w:rPr>
                <w:sz w:val="2"/>
                <w:szCs w:val="2"/>
              </w:rPr>
            </w:pPr>
          </w:p>
        </w:tc>
        <w:tc>
          <w:tcPr>
            <w:tcW w:w="5259" w:type="dxa"/>
            <w:tcBorders>
              <w:right w:val="nil"/>
            </w:tcBorders>
            <w:shd w:val="clear" w:color="auto" w:fill="D4E3F5"/>
          </w:tcPr>
          <w:p w:rsidR="00AC71A5" w:rsidRDefault="00AC71A5" w:rsidP="00146536">
            <w:pPr>
              <w:pStyle w:val="TableParagraph"/>
              <w:spacing w:before="54"/>
              <w:ind w:left="1706" w:right="1708"/>
              <w:jc w:val="center"/>
              <w:rPr>
                <w:sz w:val="18"/>
              </w:rPr>
            </w:pPr>
            <w:proofErr w:type="spellStart"/>
            <w:r>
              <w:rPr>
                <w:color w:val="231F20"/>
                <w:sz w:val="18"/>
              </w:rPr>
              <w:t>中国建设银行</w:t>
            </w:r>
            <w:proofErr w:type="spellEnd"/>
          </w:p>
        </w:tc>
      </w:tr>
      <w:tr w:rsidR="00AC71A5" w:rsidTr="00146536">
        <w:trPr>
          <w:trHeight w:val="340"/>
        </w:trPr>
        <w:tc>
          <w:tcPr>
            <w:tcW w:w="3528" w:type="dxa"/>
            <w:vMerge/>
            <w:tcBorders>
              <w:top w:val="nil"/>
              <w:left w:val="nil"/>
            </w:tcBorders>
            <w:shd w:val="clear" w:color="auto" w:fill="D4E3F5"/>
          </w:tcPr>
          <w:p w:rsidR="00AC71A5" w:rsidRDefault="00AC71A5" w:rsidP="00146536">
            <w:pPr>
              <w:rPr>
                <w:sz w:val="2"/>
                <w:szCs w:val="2"/>
              </w:rPr>
            </w:pPr>
          </w:p>
        </w:tc>
        <w:tc>
          <w:tcPr>
            <w:tcW w:w="5259" w:type="dxa"/>
            <w:tcBorders>
              <w:right w:val="nil"/>
            </w:tcBorders>
            <w:shd w:val="clear" w:color="auto" w:fill="D4E3F5"/>
          </w:tcPr>
          <w:p w:rsidR="00AC71A5" w:rsidRDefault="00AC71A5" w:rsidP="00146536">
            <w:pPr>
              <w:pStyle w:val="TableParagraph"/>
              <w:spacing w:before="54"/>
              <w:ind w:left="1706" w:right="1708"/>
              <w:jc w:val="center"/>
              <w:rPr>
                <w:sz w:val="18"/>
              </w:rPr>
            </w:pPr>
            <w:proofErr w:type="spellStart"/>
            <w:r>
              <w:rPr>
                <w:color w:val="231F20"/>
                <w:sz w:val="18"/>
              </w:rPr>
              <w:t>德意志银行</w:t>
            </w:r>
            <w:proofErr w:type="spellEnd"/>
          </w:p>
        </w:tc>
      </w:tr>
      <w:tr w:rsidR="00AC71A5" w:rsidTr="00146536">
        <w:trPr>
          <w:trHeight w:val="340"/>
        </w:trPr>
        <w:tc>
          <w:tcPr>
            <w:tcW w:w="3528" w:type="dxa"/>
            <w:vMerge/>
            <w:tcBorders>
              <w:top w:val="nil"/>
              <w:left w:val="nil"/>
            </w:tcBorders>
            <w:shd w:val="clear" w:color="auto" w:fill="D4E3F5"/>
          </w:tcPr>
          <w:p w:rsidR="00AC71A5" w:rsidRDefault="00AC71A5" w:rsidP="00146536">
            <w:pPr>
              <w:rPr>
                <w:sz w:val="2"/>
                <w:szCs w:val="2"/>
              </w:rPr>
            </w:pPr>
          </w:p>
        </w:tc>
        <w:tc>
          <w:tcPr>
            <w:tcW w:w="5259" w:type="dxa"/>
            <w:tcBorders>
              <w:right w:val="nil"/>
            </w:tcBorders>
            <w:shd w:val="clear" w:color="auto" w:fill="D4E3F5"/>
          </w:tcPr>
          <w:p w:rsidR="00AC71A5" w:rsidRDefault="00AC71A5" w:rsidP="00146536">
            <w:pPr>
              <w:pStyle w:val="TableParagraph"/>
              <w:spacing w:before="54"/>
              <w:ind w:left="1706" w:right="1708"/>
              <w:jc w:val="center"/>
              <w:rPr>
                <w:sz w:val="18"/>
              </w:rPr>
            </w:pPr>
            <w:proofErr w:type="spellStart"/>
            <w:r>
              <w:rPr>
                <w:color w:val="231F20"/>
                <w:sz w:val="18"/>
              </w:rPr>
              <w:t>中国工商银行</w:t>
            </w:r>
            <w:proofErr w:type="spellEnd"/>
          </w:p>
        </w:tc>
      </w:tr>
      <w:tr w:rsidR="00AC71A5" w:rsidTr="00146536">
        <w:trPr>
          <w:trHeight w:val="340"/>
        </w:trPr>
        <w:tc>
          <w:tcPr>
            <w:tcW w:w="3528" w:type="dxa"/>
            <w:vMerge/>
            <w:tcBorders>
              <w:top w:val="nil"/>
              <w:left w:val="nil"/>
            </w:tcBorders>
            <w:shd w:val="clear" w:color="auto" w:fill="D4E3F5"/>
          </w:tcPr>
          <w:p w:rsidR="00AC71A5" w:rsidRDefault="00AC71A5" w:rsidP="00146536">
            <w:pPr>
              <w:rPr>
                <w:sz w:val="2"/>
                <w:szCs w:val="2"/>
              </w:rPr>
            </w:pPr>
          </w:p>
        </w:tc>
        <w:tc>
          <w:tcPr>
            <w:tcW w:w="5259" w:type="dxa"/>
            <w:tcBorders>
              <w:right w:val="nil"/>
            </w:tcBorders>
            <w:shd w:val="clear" w:color="auto" w:fill="D4E3F5"/>
          </w:tcPr>
          <w:p w:rsidR="00AC71A5" w:rsidRDefault="00AC71A5" w:rsidP="00146536">
            <w:pPr>
              <w:pStyle w:val="TableParagraph"/>
              <w:spacing w:before="54"/>
              <w:ind w:left="1706" w:right="1708"/>
              <w:jc w:val="center"/>
              <w:rPr>
                <w:sz w:val="18"/>
              </w:rPr>
            </w:pPr>
            <w:proofErr w:type="spellStart"/>
            <w:r>
              <w:rPr>
                <w:color w:val="231F20"/>
                <w:sz w:val="18"/>
              </w:rPr>
              <w:t>三菱日联金融集团</w:t>
            </w:r>
            <w:proofErr w:type="spellEnd"/>
          </w:p>
        </w:tc>
      </w:tr>
      <w:tr w:rsidR="00AC71A5" w:rsidTr="00146536">
        <w:trPr>
          <w:trHeight w:val="340"/>
        </w:trPr>
        <w:tc>
          <w:tcPr>
            <w:tcW w:w="3528" w:type="dxa"/>
            <w:vMerge w:val="restart"/>
            <w:tcBorders>
              <w:left w:val="nil"/>
            </w:tcBorders>
            <w:shd w:val="clear" w:color="auto" w:fill="D4E3F5"/>
          </w:tcPr>
          <w:p w:rsidR="00AC71A5" w:rsidRDefault="00AC71A5" w:rsidP="00146536">
            <w:pPr>
              <w:pStyle w:val="TableParagraph"/>
              <w:spacing w:before="0"/>
              <w:jc w:val="left"/>
              <w:rPr>
                <w:sz w:val="20"/>
              </w:rPr>
            </w:pPr>
          </w:p>
          <w:p w:rsidR="00AC71A5" w:rsidRDefault="00AC71A5" w:rsidP="00146536">
            <w:pPr>
              <w:pStyle w:val="TableParagraph"/>
              <w:spacing w:before="0"/>
              <w:jc w:val="left"/>
              <w:rPr>
                <w:sz w:val="20"/>
              </w:rPr>
            </w:pPr>
          </w:p>
          <w:p w:rsidR="00AC71A5" w:rsidRDefault="00AC71A5" w:rsidP="00146536">
            <w:pPr>
              <w:pStyle w:val="TableParagraph"/>
              <w:spacing w:before="0"/>
              <w:jc w:val="left"/>
              <w:rPr>
                <w:sz w:val="20"/>
              </w:rPr>
            </w:pPr>
          </w:p>
          <w:p w:rsidR="00AC71A5" w:rsidRDefault="00AC71A5" w:rsidP="00146536">
            <w:pPr>
              <w:pStyle w:val="TableParagraph"/>
              <w:spacing w:before="11"/>
              <w:jc w:val="left"/>
              <w:rPr>
                <w:sz w:val="16"/>
              </w:rPr>
            </w:pPr>
          </w:p>
          <w:p w:rsidR="00AC71A5" w:rsidRDefault="00AC71A5" w:rsidP="00146536">
            <w:pPr>
              <w:pStyle w:val="TableParagraph"/>
              <w:spacing w:before="0"/>
              <w:ind w:left="5"/>
              <w:jc w:val="center"/>
              <w:rPr>
                <w:sz w:val="18"/>
              </w:rPr>
            </w:pPr>
            <w:r>
              <w:rPr>
                <w:color w:val="231F20"/>
                <w:w w:val="99"/>
                <w:sz w:val="18"/>
              </w:rPr>
              <w:t>1</w:t>
            </w:r>
          </w:p>
          <w:p w:rsidR="00AC71A5" w:rsidRDefault="00AC71A5" w:rsidP="00146536">
            <w:pPr>
              <w:pStyle w:val="TableParagraph"/>
              <w:spacing w:before="9"/>
              <w:ind w:left="1024" w:right="1019"/>
              <w:jc w:val="center"/>
              <w:rPr>
                <w:sz w:val="18"/>
              </w:rPr>
            </w:pPr>
            <w:r>
              <w:rPr>
                <w:color w:val="231F20"/>
                <w:sz w:val="18"/>
              </w:rPr>
              <w:t>（1.0%）</w:t>
            </w:r>
          </w:p>
        </w:tc>
        <w:tc>
          <w:tcPr>
            <w:tcW w:w="5259" w:type="dxa"/>
            <w:tcBorders>
              <w:right w:val="nil"/>
            </w:tcBorders>
            <w:shd w:val="clear" w:color="auto" w:fill="D4E3F5"/>
          </w:tcPr>
          <w:p w:rsidR="00AC71A5" w:rsidRDefault="00AC71A5" w:rsidP="00146536">
            <w:pPr>
              <w:pStyle w:val="TableParagraph"/>
              <w:spacing w:before="54"/>
              <w:ind w:left="1706" w:right="1708"/>
              <w:jc w:val="center"/>
              <w:rPr>
                <w:sz w:val="18"/>
              </w:rPr>
            </w:pPr>
            <w:proofErr w:type="spellStart"/>
            <w:r>
              <w:rPr>
                <w:color w:val="231F20"/>
                <w:sz w:val="18"/>
              </w:rPr>
              <w:t>中国农业银行</w:t>
            </w:r>
            <w:proofErr w:type="spellEnd"/>
          </w:p>
        </w:tc>
      </w:tr>
      <w:tr w:rsidR="00AC71A5" w:rsidTr="00146536">
        <w:trPr>
          <w:trHeight w:val="340"/>
        </w:trPr>
        <w:tc>
          <w:tcPr>
            <w:tcW w:w="3528" w:type="dxa"/>
            <w:vMerge/>
            <w:tcBorders>
              <w:top w:val="nil"/>
              <w:left w:val="nil"/>
            </w:tcBorders>
            <w:shd w:val="clear" w:color="auto" w:fill="D4E3F5"/>
          </w:tcPr>
          <w:p w:rsidR="00AC71A5" w:rsidRDefault="00AC71A5" w:rsidP="00146536">
            <w:pPr>
              <w:rPr>
                <w:sz w:val="2"/>
                <w:szCs w:val="2"/>
              </w:rPr>
            </w:pPr>
          </w:p>
        </w:tc>
        <w:tc>
          <w:tcPr>
            <w:tcW w:w="5259" w:type="dxa"/>
            <w:tcBorders>
              <w:right w:val="nil"/>
            </w:tcBorders>
            <w:shd w:val="clear" w:color="auto" w:fill="D4E3F5"/>
          </w:tcPr>
          <w:p w:rsidR="00AC71A5" w:rsidRDefault="00AC71A5" w:rsidP="00146536">
            <w:pPr>
              <w:pStyle w:val="TableParagraph"/>
              <w:spacing w:before="54"/>
              <w:ind w:left="1706" w:right="1708"/>
              <w:jc w:val="center"/>
              <w:rPr>
                <w:sz w:val="18"/>
              </w:rPr>
            </w:pPr>
            <w:proofErr w:type="spellStart"/>
            <w:r>
              <w:rPr>
                <w:color w:val="231F20"/>
                <w:sz w:val="18"/>
              </w:rPr>
              <w:t>纽约梅隆银行</w:t>
            </w:r>
            <w:proofErr w:type="spellEnd"/>
          </w:p>
        </w:tc>
      </w:tr>
      <w:tr w:rsidR="00AC71A5" w:rsidTr="00146536">
        <w:trPr>
          <w:trHeight w:val="340"/>
        </w:trPr>
        <w:tc>
          <w:tcPr>
            <w:tcW w:w="3528" w:type="dxa"/>
            <w:vMerge/>
            <w:tcBorders>
              <w:top w:val="nil"/>
              <w:left w:val="nil"/>
            </w:tcBorders>
            <w:shd w:val="clear" w:color="auto" w:fill="D4E3F5"/>
          </w:tcPr>
          <w:p w:rsidR="00AC71A5" w:rsidRDefault="00AC71A5" w:rsidP="00146536">
            <w:pPr>
              <w:rPr>
                <w:sz w:val="2"/>
                <w:szCs w:val="2"/>
              </w:rPr>
            </w:pPr>
          </w:p>
        </w:tc>
        <w:tc>
          <w:tcPr>
            <w:tcW w:w="5259" w:type="dxa"/>
            <w:tcBorders>
              <w:right w:val="nil"/>
            </w:tcBorders>
            <w:shd w:val="clear" w:color="auto" w:fill="D4E3F5"/>
          </w:tcPr>
          <w:p w:rsidR="00AC71A5" w:rsidRDefault="00AC71A5" w:rsidP="00146536">
            <w:pPr>
              <w:pStyle w:val="TableParagraph"/>
              <w:spacing w:before="54"/>
              <w:ind w:left="1706" w:right="1708"/>
              <w:jc w:val="center"/>
              <w:rPr>
                <w:sz w:val="18"/>
              </w:rPr>
            </w:pPr>
            <w:proofErr w:type="spellStart"/>
            <w:r>
              <w:rPr>
                <w:color w:val="231F20"/>
                <w:sz w:val="18"/>
              </w:rPr>
              <w:t>瑞士信贷</w:t>
            </w:r>
            <w:proofErr w:type="spellEnd"/>
          </w:p>
        </w:tc>
      </w:tr>
      <w:tr w:rsidR="00AC71A5" w:rsidTr="00146536">
        <w:trPr>
          <w:trHeight w:val="340"/>
        </w:trPr>
        <w:tc>
          <w:tcPr>
            <w:tcW w:w="3528" w:type="dxa"/>
            <w:vMerge/>
            <w:tcBorders>
              <w:top w:val="nil"/>
              <w:left w:val="nil"/>
            </w:tcBorders>
            <w:shd w:val="clear" w:color="auto" w:fill="D4E3F5"/>
          </w:tcPr>
          <w:p w:rsidR="00AC71A5" w:rsidRDefault="00AC71A5" w:rsidP="00146536">
            <w:pPr>
              <w:rPr>
                <w:sz w:val="2"/>
                <w:szCs w:val="2"/>
              </w:rPr>
            </w:pPr>
          </w:p>
        </w:tc>
        <w:tc>
          <w:tcPr>
            <w:tcW w:w="5259" w:type="dxa"/>
            <w:tcBorders>
              <w:right w:val="nil"/>
            </w:tcBorders>
            <w:shd w:val="clear" w:color="auto" w:fill="D4E3F5"/>
          </w:tcPr>
          <w:p w:rsidR="00AC71A5" w:rsidRDefault="00AC71A5" w:rsidP="00146536">
            <w:pPr>
              <w:pStyle w:val="TableParagraph"/>
              <w:spacing w:before="54"/>
              <w:ind w:left="1706" w:right="1708"/>
              <w:jc w:val="center"/>
              <w:rPr>
                <w:sz w:val="18"/>
              </w:rPr>
            </w:pPr>
            <w:proofErr w:type="spellStart"/>
            <w:r>
              <w:rPr>
                <w:color w:val="231F20"/>
                <w:sz w:val="18"/>
              </w:rPr>
              <w:t>美国高盛集团</w:t>
            </w:r>
            <w:proofErr w:type="spellEnd"/>
          </w:p>
        </w:tc>
      </w:tr>
      <w:tr w:rsidR="00AC71A5" w:rsidTr="00146536">
        <w:trPr>
          <w:trHeight w:val="340"/>
        </w:trPr>
        <w:tc>
          <w:tcPr>
            <w:tcW w:w="3528" w:type="dxa"/>
            <w:vMerge/>
            <w:tcBorders>
              <w:top w:val="nil"/>
              <w:left w:val="nil"/>
            </w:tcBorders>
            <w:shd w:val="clear" w:color="auto" w:fill="D4E3F5"/>
          </w:tcPr>
          <w:p w:rsidR="00AC71A5" w:rsidRDefault="00AC71A5" w:rsidP="00146536">
            <w:pPr>
              <w:rPr>
                <w:sz w:val="2"/>
                <w:szCs w:val="2"/>
              </w:rPr>
            </w:pPr>
          </w:p>
        </w:tc>
        <w:tc>
          <w:tcPr>
            <w:tcW w:w="5259" w:type="dxa"/>
            <w:tcBorders>
              <w:right w:val="nil"/>
            </w:tcBorders>
            <w:shd w:val="clear" w:color="auto" w:fill="D4E3F5"/>
          </w:tcPr>
          <w:p w:rsidR="00AC71A5" w:rsidRDefault="00AC71A5" w:rsidP="00146536">
            <w:pPr>
              <w:pStyle w:val="TableParagraph"/>
              <w:spacing w:before="54"/>
              <w:ind w:left="1706" w:right="1708"/>
              <w:jc w:val="center"/>
              <w:rPr>
                <w:sz w:val="18"/>
              </w:rPr>
            </w:pPr>
            <w:proofErr w:type="spellStart"/>
            <w:r>
              <w:rPr>
                <w:color w:val="231F20"/>
                <w:sz w:val="18"/>
              </w:rPr>
              <w:t>法国大众储蓄银行</w:t>
            </w:r>
            <w:proofErr w:type="spellEnd"/>
          </w:p>
        </w:tc>
      </w:tr>
      <w:tr w:rsidR="00AC71A5" w:rsidTr="00146536">
        <w:trPr>
          <w:trHeight w:val="340"/>
        </w:trPr>
        <w:tc>
          <w:tcPr>
            <w:tcW w:w="3528" w:type="dxa"/>
            <w:vMerge/>
            <w:tcBorders>
              <w:top w:val="nil"/>
              <w:left w:val="nil"/>
            </w:tcBorders>
            <w:shd w:val="clear" w:color="auto" w:fill="D4E3F5"/>
          </w:tcPr>
          <w:p w:rsidR="00AC71A5" w:rsidRDefault="00AC71A5" w:rsidP="00146536">
            <w:pPr>
              <w:rPr>
                <w:sz w:val="2"/>
                <w:szCs w:val="2"/>
              </w:rPr>
            </w:pPr>
          </w:p>
        </w:tc>
        <w:tc>
          <w:tcPr>
            <w:tcW w:w="5259" w:type="dxa"/>
            <w:tcBorders>
              <w:right w:val="nil"/>
            </w:tcBorders>
            <w:shd w:val="clear" w:color="auto" w:fill="D4E3F5"/>
          </w:tcPr>
          <w:p w:rsidR="00AC71A5" w:rsidRDefault="00AC71A5" w:rsidP="00146536">
            <w:pPr>
              <w:pStyle w:val="TableParagraph"/>
              <w:spacing w:before="54"/>
              <w:ind w:left="1706" w:right="1708"/>
              <w:jc w:val="center"/>
              <w:rPr>
                <w:sz w:val="18"/>
              </w:rPr>
            </w:pPr>
            <w:proofErr w:type="spellStart"/>
            <w:r>
              <w:rPr>
                <w:color w:val="231F20"/>
                <w:sz w:val="18"/>
              </w:rPr>
              <w:t>法国农业信贷银行</w:t>
            </w:r>
            <w:proofErr w:type="spellEnd"/>
          </w:p>
        </w:tc>
      </w:tr>
      <w:tr w:rsidR="00AC71A5" w:rsidTr="00146536">
        <w:trPr>
          <w:trHeight w:val="340"/>
        </w:trPr>
        <w:tc>
          <w:tcPr>
            <w:tcW w:w="3528" w:type="dxa"/>
            <w:vMerge/>
            <w:tcBorders>
              <w:top w:val="nil"/>
              <w:left w:val="nil"/>
            </w:tcBorders>
            <w:shd w:val="clear" w:color="auto" w:fill="D4E3F5"/>
          </w:tcPr>
          <w:p w:rsidR="00AC71A5" w:rsidRDefault="00AC71A5" w:rsidP="00146536">
            <w:pPr>
              <w:rPr>
                <w:sz w:val="2"/>
                <w:szCs w:val="2"/>
              </w:rPr>
            </w:pPr>
          </w:p>
        </w:tc>
        <w:tc>
          <w:tcPr>
            <w:tcW w:w="5259" w:type="dxa"/>
            <w:tcBorders>
              <w:right w:val="nil"/>
            </w:tcBorders>
            <w:shd w:val="clear" w:color="auto" w:fill="D4E3F5"/>
          </w:tcPr>
          <w:p w:rsidR="00AC71A5" w:rsidRDefault="00AC71A5" w:rsidP="00146536">
            <w:pPr>
              <w:pStyle w:val="TableParagraph"/>
              <w:spacing w:before="54"/>
              <w:ind w:left="1706" w:right="1708"/>
              <w:jc w:val="center"/>
              <w:rPr>
                <w:sz w:val="18"/>
              </w:rPr>
            </w:pPr>
            <w:proofErr w:type="spellStart"/>
            <w:r>
              <w:rPr>
                <w:color w:val="231F20"/>
                <w:sz w:val="18"/>
              </w:rPr>
              <w:t>荷兰安智银行</w:t>
            </w:r>
            <w:proofErr w:type="spellEnd"/>
          </w:p>
        </w:tc>
      </w:tr>
      <w:tr w:rsidR="00AC71A5" w:rsidTr="00146536">
        <w:trPr>
          <w:trHeight w:val="340"/>
        </w:trPr>
        <w:tc>
          <w:tcPr>
            <w:tcW w:w="3528" w:type="dxa"/>
            <w:vMerge w:val="restart"/>
            <w:tcBorders>
              <w:left w:val="nil"/>
            </w:tcBorders>
            <w:shd w:val="clear" w:color="auto" w:fill="D4E3F5"/>
          </w:tcPr>
          <w:p w:rsidR="00AC71A5" w:rsidRDefault="00AC71A5" w:rsidP="00146536">
            <w:pPr>
              <w:pStyle w:val="TableParagraph"/>
              <w:spacing w:before="0"/>
              <w:jc w:val="left"/>
              <w:rPr>
                <w:rFonts w:ascii="Times New Roman"/>
                <w:sz w:val="18"/>
              </w:rPr>
            </w:pPr>
          </w:p>
        </w:tc>
        <w:tc>
          <w:tcPr>
            <w:tcW w:w="5259" w:type="dxa"/>
            <w:tcBorders>
              <w:right w:val="nil"/>
            </w:tcBorders>
            <w:shd w:val="clear" w:color="auto" w:fill="D4E3F5"/>
          </w:tcPr>
          <w:p w:rsidR="00AC71A5" w:rsidRDefault="00AC71A5" w:rsidP="00146536">
            <w:pPr>
              <w:pStyle w:val="TableParagraph"/>
              <w:spacing w:before="54"/>
              <w:ind w:left="1706" w:right="1708"/>
              <w:jc w:val="center"/>
              <w:rPr>
                <w:sz w:val="18"/>
              </w:rPr>
            </w:pPr>
            <w:proofErr w:type="spellStart"/>
            <w:r>
              <w:rPr>
                <w:color w:val="231F20"/>
                <w:sz w:val="18"/>
              </w:rPr>
              <w:t>日本瑞穗实业银行</w:t>
            </w:r>
            <w:proofErr w:type="spellEnd"/>
          </w:p>
        </w:tc>
      </w:tr>
      <w:tr w:rsidR="00AC71A5" w:rsidTr="00146536">
        <w:trPr>
          <w:trHeight w:val="340"/>
        </w:trPr>
        <w:tc>
          <w:tcPr>
            <w:tcW w:w="3528" w:type="dxa"/>
            <w:vMerge/>
            <w:tcBorders>
              <w:top w:val="nil"/>
              <w:left w:val="nil"/>
            </w:tcBorders>
            <w:shd w:val="clear" w:color="auto" w:fill="D4E3F5"/>
          </w:tcPr>
          <w:p w:rsidR="00AC71A5" w:rsidRDefault="00AC71A5" w:rsidP="00146536">
            <w:pPr>
              <w:rPr>
                <w:sz w:val="2"/>
                <w:szCs w:val="2"/>
              </w:rPr>
            </w:pPr>
          </w:p>
        </w:tc>
        <w:tc>
          <w:tcPr>
            <w:tcW w:w="5259" w:type="dxa"/>
            <w:tcBorders>
              <w:right w:val="nil"/>
            </w:tcBorders>
            <w:shd w:val="clear" w:color="auto" w:fill="D4E3F5"/>
          </w:tcPr>
          <w:p w:rsidR="00AC71A5" w:rsidRDefault="00AC71A5" w:rsidP="00146536">
            <w:pPr>
              <w:pStyle w:val="TableParagraph"/>
              <w:spacing w:before="54"/>
              <w:ind w:left="1706" w:right="1708"/>
              <w:jc w:val="center"/>
              <w:rPr>
                <w:sz w:val="18"/>
              </w:rPr>
            </w:pPr>
            <w:proofErr w:type="spellStart"/>
            <w:r>
              <w:rPr>
                <w:color w:val="231F20"/>
                <w:sz w:val="18"/>
              </w:rPr>
              <w:t>美国摩根士丹利集团</w:t>
            </w:r>
            <w:proofErr w:type="spellEnd"/>
          </w:p>
        </w:tc>
      </w:tr>
      <w:tr w:rsidR="00AC71A5" w:rsidTr="00146536">
        <w:trPr>
          <w:trHeight w:val="340"/>
        </w:trPr>
        <w:tc>
          <w:tcPr>
            <w:tcW w:w="3528" w:type="dxa"/>
            <w:vMerge/>
            <w:tcBorders>
              <w:top w:val="nil"/>
              <w:left w:val="nil"/>
            </w:tcBorders>
            <w:shd w:val="clear" w:color="auto" w:fill="D4E3F5"/>
          </w:tcPr>
          <w:p w:rsidR="00AC71A5" w:rsidRDefault="00AC71A5" w:rsidP="00146536">
            <w:pPr>
              <w:rPr>
                <w:sz w:val="2"/>
                <w:szCs w:val="2"/>
              </w:rPr>
            </w:pPr>
          </w:p>
        </w:tc>
        <w:tc>
          <w:tcPr>
            <w:tcW w:w="5259" w:type="dxa"/>
            <w:tcBorders>
              <w:right w:val="nil"/>
            </w:tcBorders>
            <w:shd w:val="clear" w:color="auto" w:fill="D4E3F5"/>
          </w:tcPr>
          <w:p w:rsidR="00AC71A5" w:rsidRDefault="00AC71A5" w:rsidP="00146536">
            <w:pPr>
              <w:pStyle w:val="TableParagraph"/>
              <w:spacing w:before="54"/>
              <w:ind w:left="1706" w:right="1708"/>
              <w:jc w:val="center"/>
              <w:rPr>
                <w:sz w:val="18"/>
              </w:rPr>
            </w:pPr>
            <w:proofErr w:type="spellStart"/>
            <w:r>
              <w:rPr>
                <w:color w:val="231F20"/>
                <w:sz w:val="18"/>
              </w:rPr>
              <w:t>加拿大皇家银行</w:t>
            </w:r>
            <w:proofErr w:type="spellEnd"/>
          </w:p>
        </w:tc>
      </w:tr>
      <w:tr w:rsidR="00AC71A5" w:rsidTr="00146536">
        <w:trPr>
          <w:trHeight w:val="340"/>
        </w:trPr>
        <w:tc>
          <w:tcPr>
            <w:tcW w:w="3528" w:type="dxa"/>
            <w:vMerge/>
            <w:tcBorders>
              <w:top w:val="nil"/>
              <w:left w:val="nil"/>
            </w:tcBorders>
            <w:shd w:val="clear" w:color="auto" w:fill="D4E3F5"/>
          </w:tcPr>
          <w:p w:rsidR="00AC71A5" w:rsidRDefault="00AC71A5" w:rsidP="00146536">
            <w:pPr>
              <w:rPr>
                <w:sz w:val="2"/>
                <w:szCs w:val="2"/>
              </w:rPr>
            </w:pPr>
          </w:p>
        </w:tc>
        <w:tc>
          <w:tcPr>
            <w:tcW w:w="5259" w:type="dxa"/>
            <w:tcBorders>
              <w:right w:val="nil"/>
            </w:tcBorders>
            <w:shd w:val="clear" w:color="auto" w:fill="D4E3F5"/>
          </w:tcPr>
          <w:p w:rsidR="00AC71A5" w:rsidRDefault="00AC71A5" w:rsidP="00146536">
            <w:pPr>
              <w:pStyle w:val="TableParagraph"/>
              <w:spacing w:before="54"/>
              <w:ind w:left="1706" w:right="1708"/>
              <w:jc w:val="center"/>
              <w:rPr>
                <w:sz w:val="18"/>
              </w:rPr>
            </w:pPr>
            <w:proofErr w:type="spellStart"/>
            <w:r>
              <w:rPr>
                <w:color w:val="231F20"/>
                <w:sz w:val="18"/>
              </w:rPr>
              <w:t>西班牙桑坦德银行</w:t>
            </w:r>
            <w:proofErr w:type="spellEnd"/>
          </w:p>
        </w:tc>
      </w:tr>
      <w:tr w:rsidR="00AC71A5" w:rsidTr="00146536">
        <w:trPr>
          <w:trHeight w:val="340"/>
        </w:trPr>
        <w:tc>
          <w:tcPr>
            <w:tcW w:w="3528" w:type="dxa"/>
            <w:vMerge/>
            <w:tcBorders>
              <w:top w:val="nil"/>
              <w:left w:val="nil"/>
            </w:tcBorders>
            <w:shd w:val="clear" w:color="auto" w:fill="D4E3F5"/>
          </w:tcPr>
          <w:p w:rsidR="00AC71A5" w:rsidRDefault="00AC71A5" w:rsidP="00146536">
            <w:pPr>
              <w:rPr>
                <w:sz w:val="2"/>
                <w:szCs w:val="2"/>
              </w:rPr>
            </w:pPr>
          </w:p>
        </w:tc>
        <w:tc>
          <w:tcPr>
            <w:tcW w:w="5259" w:type="dxa"/>
            <w:tcBorders>
              <w:right w:val="nil"/>
            </w:tcBorders>
            <w:shd w:val="clear" w:color="auto" w:fill="D4E3F5"/>
          </w:tcPr>
          <w:p w:rsidR="00AC71A5" w:rsidRDefault="00AC71A5" w:rsidP="00146536">
            <w:pPr>
              <w:pStyle w:val="TableParagraph"/>
              <w:spacing w:before="54"/>
              <w:ind w:left="1706" w:right="1708"/>
              <w:jc w:val="center"/>
              <w:rPr>
                <w:sz w:val="18"/>
              </w:rPr>
            </w:pPr>
            <w:proofErr w:type="spellStart"/>
            <w:r>
              <w:rPr>
                <w:color w:val="231F20"/>
                <w:sz w:val="18"/>
              </w:rPr>
              <w:t>法国兴业银行</w:t>
            </w:r>
            <w:proofErr w:type="spellEnd"/>
          </w:p>
        </w:tc>
      </w:tr>
      <w:tr w:rsidR="00AC71A5" w:rsidTr="00146536">
        <w:trPr>
          <w:trHeight w:val="340"/>
        </w:trPr>
        <w:tc>
          <w:tcPr>
            <w:tcW w:w="3528" w:type="dxa"/>
            <w:vMerge/>
            <w:tcBorders>
              <w:top w:val="nil"/>
              <w:left w:val="nil"/>
            </w:tcBorders>
            <w:shd w:val="clear" w:color="auto" w:fill="D4E3F5"/>
          </w:tcPr>
          <w:p w:rsidR="00AC71A5" w:rsidRDefault="00AC71A5" w:rsidP="00146536">
            <w:pPr>
              <w:rPr>
                <w:sz w:val="2"/>
                <w:szCs w:val="2"/>
              </w:rPr>
            </w:pPr>
          </w:p>
        </w:tc>
        <w:tc>
          <w:tcPr>
            <w:tcW w:w="5259" w:type="dxa"/>
            <w:tcBorders>
              <w:right w:val="nil"/>
            </w:tcBorders>
            <w:shd w:val="clear" w:color="auto" w:fill="D4E3F5"/>
          </w:tcPr>
          <w:p w:rsidR="00AC71A5" w:rsidRDefault="00AC71A5" w:rsidP="00146536">
            <w:pPr>
              <w:pStyle w:val="TableParagraph"/>
              <w:spacing w:before="54"/>
              <w:ind w:left="1706" w:right="1708"/>
              <w:jc w:val="center"/>
              <w:rPr>
                <w:sz w:val="18"/>
              </w:rPr>
            </w:pPr>
            <w:proofErr w:type="spellStart"/>
            <w:r>
              <w:rPr>
                <w:color w:val="231F20"/>
                <w:sz w:val="18"/>
              </w:rPr>
              <w:t>渣打银行</w:t>
            </w:r>
            <w:proofErr w:type="spellEnd"/>
          </w:p>
        </w:tc>
      </w:tr>
      <w:tr w:rsidR="00AC71A5" w:rsidTr="00146536">
        <w:trPr>
          <w:trHeight w:val="340"/>
        </w:trPr>
        <w:tc>
          <w:tcPr>
            <w:tcW w:w="3528" w:type="dxa"/>
            <w:vMerge/>
            <w:tcBorders>
              <w:top w:val="nil"/>
              <w:left w:val="nil"/>
            </w:tcBorders>
            <w:shd w:val="clear" w:color="auto" w:fill="D4E3F5"/>
          </w:tcPr>
          <w:p w:rsidR="00AC71A5" w:rsidRDefault="00AC71A5" w:rsidP="00146536">
            <w:pPr>
              <w:rPr>
                <w:sz w:val="2"/>
                <w:szCs w:val="2"/>
              </w:rPr>
            </w:pPr>
          </w:p>
        </w:tc>
        <w:tc>
          <w:tcPr>
            <w:tcW w:w="5259" w:type="dxa"/>
            <w:tcBorders>
              <w:right w:val="nil"/>
            </w:tcBorders>
            <w:shd w:val="clear" w:color="auto" w:fill="D4E3F5"/>
          </w:tcPr>
          <w:p w:rsidR="00AC71A5" w:rsidRDefault="00AC71A5" w:rsidP="00146536">
            <w:pPr>
              <w:pStyle w:val="TableParagraph"/>
              <w:spacing w:before="54"/>
              <w:ind w:left="1706" w:right="1708"/>
              <w:jc w:val="center"/>
              <w:rPr>
                <w:sz w:val="18"/>
              </w:rPr>
            </w:pPr>
            <w:proofErr w:type="spellStart"/>
            <w:r>
              <w:rPr>
                <w:color w:val="231F20"/>
                <w:sz w:val="18"/>
              </w:rPr>
              <w:t>美国道富银行</w:t>
            </w:r>
            <w:proofErr w:type="spellEnd"/>
          </w:p>
        </w:tc>
      </w:tr>
      <w:tr w:rsidR="00AC71A5" w:rsidTr="00146536">
        <w:trPr>
          <w:trHeight w:val="340"/>
        </w:trPr>
        <w:tc>
          <w:tcPr>
            <w:tcW w:w="3528" w:type="dxa"/>
            <w:vMerge/>
            <w:tcBorders>
              <w:top w:val="nil"/>
              <w:left w:val="nil"/>
            </w:tcBorders>
            <w:shd w:val="clear" w:color="auto" w:fill="D4E3F5"/>
          </w:tcPr>
          <w:p w:rsidR="00AC71A5" w:rsidRDefault="00AC71A5" w:rsidP="00146536">
            <w:pPr>
              <w:rPr>
                <w:sz w:val="2"/>
                <w:szCs w:val="2"/>
              </w:rPr>
            </w:pPr>
          </w:p>
        </w:tc>
        <w:tc>
          <w:tcPr>
            <w:tcW w:w="5259" w:type="dxa"/>
            <w:tcBorders>
              <w:right w:val="nil"/>
            </w:tcBorders>
            <w:shd w:val="clear" w:color="auto" w:fill="D4E3F5"/>
          </w:tcPr>
          <w:p w:rsidR="00AC71A5" w:rsidRDefault="00AC71A5" w:rsidP="00146536">
            <w:pPr>
              <w:pStyle w:val="TableParagraph"/>
              <w:spacing w:before="54"/>
              <w:ind w:left="1706" w:right="1708"/>
              <w:jc w:val="center"/>
              <w:rPr>
                <w:sz w:val="18"/>
                <w:lang w:eastAsia="zh-CN"/>
              </w:rPr>
            </w:pPr>
            <w:r>
              <w:rPr>
                <w:color w:val="231F20"/>
                <w:sz w:val="18"/>
                <w:lang w:eastAsia="zh-CN"/>
              </w:rPr>
              <w:t>日本三井住友金融集团</w:t>
            </w:r>
          </w:p>
        </w:tc>
      </w:tr>
      <w:tr w:rsidR="00AC71A5" w:rsidTr="00146536">
        <w:trPr>
          <w:trHeight w:val="340"/>
        </w:trPr>
        <w:tc>
          <w:tcPr>
            <w:tcW w:w="3528" w:type="dxa"/>
            <w:vMerge/>
            <w:tcBorders>
              <w:top w:val="nil"/>
              <w:left w:val="nil"/>
            </w:tcBorders>
            <w:shd w:val="clear" w:color="auto" w:fill="D4E3F5"/>
          </w:tcPr>
          <w:p w:rsidR="00AC71A5" w:rsidRDefault="00AC71A5" w:rsidP="00146536">
            <w:pPr>
              <w:rPr>
                <w:sz w:val="2"/>
                <w:szCs w:val="2"/>
                <w:lang w:eastAsia="zh-CN"/>
              </w:rPr>
            </w:pPr>
          </w:p>
        </w:tc>
        <w:tc>
          <w:tcPr>
            <w:tcW w:w="5259" w:type="dxa"/>
            <w:tcBorders>
              <w:right w:val="nil"/>
            </w:tcBorders>
            <w:shd w:val="clear" w:color="auto" w:fill="D4E3F5"/>
          </w:tcPr>
          <w:p w:rsidR="00AC71A5" w:rsidRDefault="00AC71A5" w:rsidP="00146536">
            <w:pPr>
              <w:pStyle w:val="TableParagraph"/>
              <w:spacing w:before="54"/>
              <w:ind w:left="1706" w:right="1708"/>
              <w:jc w:val="center"/>
              <w:rPr>
                <w:sz w:val="18"/>
                <w:lang w:eastAsia="zh-CN"/>
              </w:rPr>
            </w:pPr>
            <w:r>
              <w:rPr>
                <w:color w:val="231F20"/>
                <w:sz w:val="18"/>
                <w:lang w:eastAsia="zh-CN"/>
              </w:rPr>
              <w:t>加拿大多伦多道明银行</w:t>
            </w:r>
          </w:p>
        </w:tc>
      </w:tr>
      <w:tr w:rsidR="00AC71A5" w:rsidTr="00146536">
        <w:trPr>
          <w:trHeight w:val="340"/>
        </w:trPr>
        <w:tc>
          <w:tcPr>
            <w:tcW w:w="3528" w:type="dxa"/>
            <w:vMerge w:val="restart"/>
            <w:tcBorders>
              <w:left w:val="nil"/>
              <w:bottom w:val="nil"/>
            </w:tcBorders>
            <w:shd w:val="clear" w:color="auto" w:fill="D4E3F5"/>
          </w:tcPr>
          <w:p w:rsidR="00AC71A5" w:rsidRDefault="00AC71A5" w:rsidP="00146536">
            <w:pPr>
              <w:pStyle w:val="TableParagraph"/>
              <w:spacing w:before="0"/>
              <w:jc w:val="left"/>
              <w:rPr>
                <w:rFonts w:ascii="Times New Roman"/>
                <w:sz w:val="18"/>
                <w:lang w:eastAsia="zh-CN"/>
              </w:rPr>
            </w:pPr>
          </w:p>
        </w:tc>
        <w:tc>
          <w:tcPr>
            <w:tcW w:w="5259" w:type="dxa"/>
            <w:tcBorders>
              <w:right w:val="nil"/>
            </w:tcBorders>
            <w:shd w:val="clear" w:color="auto" w:fill="D4E3F5"/>
          </w:tcPr>
          <w:p w:rsidR="00AC71A5" w:rsidRDefault="00AC71A5" w:rsidP="00146536">
            <w:pPr>
              <w:pStyle w:val="TableParagraph"/>
              <w:spacing w:before="54"/>
              <w:ind w:left="1706" w:right="1708"/>
              <w:jc w:val="center"/>
              <w:rPr>
                <w:sz w:val="18"/>
              </w:rPr>
            </w:pPr>
            <w:proofErr w:type="spellStart"/>
            <w:r>
              <w:rPr>
                <w:color w:val="231F20"/>
                <w:sz w:val="18"/>
              </w:rPr>
              <w:t>瑞银集团</w:t>
            </w:r>
            <w:proofErr w:type="spellEnd"/>
          </w:p>
        </w:tc>
      </w:tr>
      <w:tr w:rsidR="00AC71A5" w:rsidTr="00146536">
        <w:trPr>
          <w:trHeight w:val="340"/>
        </w:trPr>
        <w:tc>
          <w:tcPr>
            <w:tcW w:w="3528" w:type="dxa"/>
            <w:vMerge/>
            <w:tcBorders>
              <w:top w:val="nil"/>
              <w:left w:val="nil"/>
              <w:bottom w:val="nil"/>
            </w:tcBorders>
            <w:shd w:val="clear" w:color="auto" w:fill="D4E3F5"/>
          </w:tcPr>
          <w:p w:rsidR="00AC71A5" w:rsidRDefault="00AC71A5" w:rsidP="00146536">
            <w:pPr>
              <w:rPr>
                <w:sz w:val="2"/>
                <w:szCs w:val="2"/>
              </w:rPr>
            </w:pPr>
          </w:p>
        </w:tc>
        <w:tc>
          <w:tcPr>
            <w:tcW w:w="5259" w:type="dxa"/>
            <w:tcBorders>
              <w:right w:val="nil"/>
            </w:tcBorders>
            <w:shd w:val="clear" w:color="auto" w:fill="D4E3F5"/>
          </w:tcPr>
          <w:p w:rsidR="00AC71A5" w:rsidRDefault="00AC71A5" w:rsidP="00146536">
            <w:pPr>
              <w:pStyle w:val="TableParagraph"/>
              <w:spacing w:before="54"/>
              <w:ind w:left="1706" w:right="1708"/>
              <w:jc w:val="center"/>
              <w:rPr>
                <w:sz w:val="18"/>
              </w:rPr>
            </w:pPr>
            <w:proofErr w:type="spellStart"/>
            <w:r>
              <w:rPr>
                <w:color w:val="231F20"/>
                <w:sz w:val="18"/>
              </w:rPr>
              <w:t>意大利裕信银行</w:t>
            </w:r>
            <w:proofErr w:type="spellEnd"/>
          </w:p>
        </w:tc>
      </w:tr>
      <w:tr w:rsidR="00AC71A5" w:rsidTr="00146536">
        <w:trPr>
          <w:trHeight w:val="345"/>
        </w:trPr>
        <w:tc>
          <w:tcPr>
            <w:tcW w:w="3528" w:type="dxa"/>
            <w:vMerge/>
            <w:tcBorders>
              <w:top w:val="nil"/>
              <w:left w:val="nil"/>
              <w:bottom w:val="nil"/>
            </w:tcBorders>
            <w:shd w:val="clear" w:color="auto" w:fill="D4E3F5"/>
          </w:tcPr>
          <w:p w:rsidR="00AC71A5" w:rsidRDefault="00AC71A5" w:rsidP="00146536">
            <w:pPr>
              <w:rPr>
                <w:sz w:val="2"/>
                <w:szCs w:val="2"/>
              </w:rPr>
            </w:pPr>
          </w:p>
        </w:tc>
        <w:tc>
          <w:tcPr>
            <w:tcW w:w="5259" w:type="dxa"/>
            <w:tcBorders>
              <w:bottom w:val="nil"/>
              <w:right w:val="nil"/>
            </w:tcBorders>
            <w:shd w:val="clear" w:color="auto" w:fill="D4E3F5"/>
          </w:tcPr>
          <w:p w:rsidR="00AC71A5" w:rsidRDefault="00AC71A5" w:rsidP="00146536">
            <w:pPr>
              <w:pStyle w:val="TableParagraph"/>
              <w:spacing w:before="54"/>
              <w:ind w:left="1706" w:right="1708"/>
              <w:jc w:val="center"/>
              <w:rPr>
                <w:sz w:val="18"/>
              </w:rPr>
            </w:pPr>
            <w:proofErr w:type="spellStart"/>
            <w:r>
              <w:rPr>
                <w:color w:val="231F20"/>
                <w:sz w:val="18"/>
              </w:rPr>
              <w:t>美国富国银行</w:t>
            </w:r>
            <w:proofErr w:type="spellEnd"/>
          </w:p>
        </w:tc>
      </w:tr>
    </w:tbl>
    <w:p w:rsidR="00AC71A5" w:rsidRDefault="00AC71A5" w:rsidP="00AC71A5">
      <w:pPr>
        <w:spacing w:before="116"/>
        <w:ind w:left="1237"/>
        <w:rPr>
          <w:sz w:val="18"/>
        </w:rPr>
      </w:pPr>
      <w:r>
        <w:rPr>
          <w:color w:val="231F20"/>
          <w:sz w:val="18"/>
        </w:rPr>
        <w:t>资料来源：</w:t>
      </w:r>
      <w:r>
        <w:rPr>
          <w:rFonts w:ascii="Times New Roman" w:eastAsia="Times New Roman"/>
          <w:color w:val="231F20"/>
          <w:sz w:val="18"/>
        </w:rPr>
        <w:t>FSB</w:t>
      </w:r>
      <w:r>
        <w:rPr>
          <w:color w:val="231F20"/>
          <w:sz w:val="18"/>
        </w:rPr>
        <w:t>《</w:t>
      </w:r>
      <w:r>
        <w:rPr>
          <w:rFonts w:ascii="Times New Roman" w:eastAsia="Times New Roman"/>
          <w:color w:val="231F20"/>
          <w:sz w:val="18"/>
        </w:rPr>
        <w:t>2020</w:t>
      </w:r>
      <w:r>
        <w:rPr>
          <w:color w:val="231F20"/>
          <w:sz w:val="18"/>
        </w:rPr>
        <w:t>年全球系统重要性银行名单》，</w:t>
      </w:r>
      <w:r>
        <w:rPr>
          <w:rFonts w:ascii="Times New Roman" w:eastAsia="Times New Roman"/>
          <w:color w:val="231F20"/>
          <w:sz w:val="18"/>
        </w:rPr>
        <w:t>2020</w:t>
      </w:r>
      <w:r>
        <w:rPr>
          <w:color w:val="231F20"/>
          <w:sz w:val="18"/>
        </w:rPr>
        <w:t>年</w:t>
      </w:r>
      <w:r>
        <w:rPr>
          <w:rFonts w:ascii="Times New Roman" w:eastAsia="Times New Roman"/>
          <w:color w:val="231F20"/>
          <w:sz w:val="18"/>
        </w:rPr>
        <w:t>11</w:t>
      </w:r>
      <w:r>
        <w:rPr>
          <w:color w:val="231F20"/>
          <w:sz w:val="18"/>
        </w:rPr>
        <w:t>月。</w:t>
      </w:r>
    </w:p>
    <w:p w:rsidR="00AC71A5" w:rsidRDefault="00AC71A5" w:rsidP="00AC71A5">
      <w:pPr>
        <w:pStyle w:val="a5"/>
        <w:rPr>
          <w:sz w:val="20"/>
        </w:rPr>
      </w:pPr>
    </w:p>
    <w:p w:rsidR="00AC71A5" w:rsidRDefault="00AC71A5" w:rsidP="00AC71A5">
      <w:pPr>
        <w:rPr>
          <w:sz w:val="20"/>
        </w:rPr>
        <w:sectPr w:rsidR="00AC71A5">
          <w:pgSz w:w="11910" w:h="16160"/>
          <w:pgMar w:top="1400" w:right="0" w:bottom="280" w:left="520" w:header="1067" w:footer="0" w:gutter="0"/>
          <w:cols w:space="720"/>
        </w:sectPr>
      </w:pPr>
    </w:p>
    <w:p w:rsidR="00AC71A5" w:rsidRDefault="00AC71A5" w:rsidP="00AC71A5">
      <w:pPr>
        <w:pStyle w:val="a5"/>
        <w:spacing w:before="7"/>
        <w:rPr>
          <w:sz w:val="17"/>
        </w:rPr>
      </w:pPr>
    </w:p>
    <w:p w:rsidR="00AC71A5" w:rsidRDefault="00AC71A5" w:rsidP="00AC71A5">
      <w:pPr>
        <w:pStyle w:val="3"/>
        <w:ind w:left="1294"/>
      </w:pPr>
      <w:r>
        <w:rPr>
          <w:color w:val="231F20"/>
        </w:rPr>
        <w:t>（三）推动有效处置机制建设</w:t>
      </w:r>
    </w:p>
    <w:p w:rsidR="00AC71A5" w:rsidRDefault="00AC71A5" w:rsidP="00AC71A5">
      <w:pPr>
        <w:pStyle w:val="a5"/>
        <w:spacing w:before="4"/>
        <w:rPr>
          <w:sz w:val="22"/>
        </w:rPr>
      </w:pPr>
    </w:p>
    <w:p w:rsidR="00AC71A5" w:rsidRDefault="00AC71A5" w:rsidP="00AC71A5">
      <w:pPr>
        <w:pStyle w:val="a5"/>
        <w:spacing w:line="379" w:lineRule="auto"/>
        <w:ind w:left="897" w:firstLine="425"/>
      </w:pPr>
      <w:r>
        <w:rPr>
          <w:color w:val="231F20"/>
          <w:position w:val="1"/>
        </w:rPr>
        <w:t>稳步推进总损失吸收能力（</w:t>
      </w:r>
      <w:r>
        <w:rPr>
          <w:rFonts w:ascii="Times New Roman" w:eastAsia="Times New Roman"/>
          <w:b/>
          <w:color w:val="231F20"/>
        </w:rPr>
        <w:t>TLAC</w:t>
      </w:r>
      <w:r>
        <w:rPr>
          <w:color w:val="231F20"/>
          <w:position w:val="1"/>
        </w:rPr>
        <w:t>）要</w:t>
      </w:r>
      <w:r>
        <w:rPr>
          <w:color w:val="231F20"/>
        </w:rPr>
        <w:t>求的实施。所有非新兴市场</w:t>
      </w:r>
      <w:r>
        <w:rPr>
          <w:rFonts w:ascii="Times New Roman" w:eastAsia="Times New Roman"/>
          <w:color w:val="231F20"/>
        </w:rPr>
        <w:t>G-SIBs</w:t>
      </w:r>
      <w:r>
        <w:rPr>
          <w:color w:val="231F20"/>
        </w:rPr>
        <w:t>，均已提</w:t>
      </w:r>
    </w:p>
    <w:p w:rsidR="00AC71A5" w:rsidRDefault="00AC71A5" w:rsidP="00AC71A5">
      <w:pPr>
        <w:pStyle w:val="a5"/>
        <w:spacing w:before="2"/>
        <w:rPr>
          <w:sz w:val="18"/>
        </w:rPr>
      </w:pPr>
      <w:r>
        <w:br w:type="column"/>
      </w:r>
    </w:p>
    <w:p w:rsidR="00AC71A5" w:rsidRDefault="00AC71A5" w:rsidP="00AC71A5">
      <w:pPr>
        <w:pStyle w:val="a5"/>
        <w:spacing w:before="1" w:line="374" w:lineRule="auto"/>
        <w:ind w:left="400" w:right="1689"/>
        <w:jc w:val="both"/>
      </w:pPr>
      <w:r>
        <w:rPr>
          <w:color w:val="231F20"/>
        </w:rPr>
        <w:t>前满足了</w:t>
      </w:r>
      <w:r>
        <w:rPr>
          <w:rFonts w:ascii="Times New Roman" w:eastAsia="Times New Roman"/>
          <w:color w:val="231F20"/>
        </w:rPr>
        <w:t>2022</w:t>
      </w:r>
      <w:r>
        <w:rPr>
          <w:color w:val="231F20"/>
        </w:rPr>
        <w:t>年风险加权资产</w:t>
      </w:r>
      <w:r>
        <w:rPr>
          <w:rFonts w:ascii="Times New Roman" w:eastAsia="Times New Roman"/>
          <w:color w:val="231F20"/>
        </w:rPr>
        <w:t>18%</w:t>
      </w:r>
      <w:r>
        <w:rPr>
          <w:color w:val="231F20"/>
        </w:rPr>
        <w:t>和杠杆率分母</w:t>
      </w:r>
      <w:r>
        <w:rPr>
          <w:rFonts w:ascii="Times New Roman" w:eastAsia="Times New Roman"/>
          <w:color w:val="231F20"/>
        </w:rPr>
        <w:t>6.75%</w:t>
      </w:r>
      <w:r>
        <w:rPr>
          <w:color w:val="231F20"/>
        </w:rPr>
        <w:t>的</w:t>
      </w:r>
      <w:r>
        <w:rPr>
          <w:rFonts w:ascii="Times New Roman" w:eastAsia="Times New Roman"/>
          <w:color w:val="231F20"/>
        </w:rPr>
        <w:t>TLAC</w:t>
      </w:r>
      <w:r>
        <w:rPr>
          <w:color w:val="231F20"/>
        </w:rPr>
        <w:t>要求。</w:t>
      </w:r>
      <w:r>
        <w:rPr>
          <w:rFonts w:ascii="Times New Roman" w:eastAsia="Times New Roman"/>
          <w:color w:val="231F20"/>
        </w:rPr>
        <w:t>TLAC</w:t>
      </w:r>
      <w:r>
        <w:rPr>
          <w:color w:val="231F20"/>
        </w:rPr>
        <w:t>工具发行在</w:t>
      </w:r>
      <w:r>
        <w:rPr>
          <w:rFonts w:ascii="Times New Roman" w:eastAsia="Times New Roman"/>
          <w:color w:val="231F20"/>
        </w:rPr>
        <w:t>2020</w:t>
      </w:r>
      <w:r>
        <w:rPr>
          <w:color w:val="231F20"/>
        </w:rPr>
        <w:t>年</w:t>
      </w:r>
      <w:r>
        <w:rPr>
          <w:rFonts w:ascii="Times New Roman" w:eastAsia="Times New Roman"/>
          <w:color w:val="231F20"/>
        </w:rPr>
        <w:t>3</w:t>
      </w:r>
      <w:r>
        <w:rPr>
          <w:color w:val="231F20"/>
        </w:rPr>
        <w:t>月受到疫情冲击后逐步恢复，上半年</w:t>
      </w:r>
    </w:p>
    <w:p w:rsidR="00AC71A5" w:rsidRDefault="00AC71A5" w:rsidP="00AC71A5">
      <w:pPr>
        <w:spacing w:line="374" w:lineRule="auto"/>
        <w:jc w:val="both"/>
        <w:sectPr w:rsidR="00AC71A5">
          <w:type w:val="continuous"/>
          <w:pgSz w:w="11910" w:h="16160"/>
          <w:pgMar w:top="1520" w:right="0" w:bottom="280" w:left="520" w:header="720" w:footer="720" w:gutter="0"/>
          <w:cols w:num="2" w:space="720" w:equalWidth="0">
            <w:col w:w="5078" w:space="40"/>
            <w:col w:w="6272"/>
          </w:cols>
        </w:sectPr>
      </w:pPr>
    </w:p>
    <w:p w:rsidR="00AC71A5" w:rsidRDefault="00AC71A5" w:rsidP="00AC71A5">
      <w:pPr>
        <w:pStyle w:val="a5"/>
        <w:rPr>
          <w:sz w:val="20"/>
        </w:rPr>
      </w:pPr>
    </w:p>
    <w:p w:rsidR="00AC71A5" w:rsidRDefault="00AC71A5" w:rsidP="00AC71A5">
      <w:pPr>
        <w:pStyle w:val="a5"/>
        <w:rPr>
          <w:sz w:val="15"/>
        </w:rPr>
      </w:pPr>
    </w:p>
    <w:p w:rsidR="00AC71A5" w:rsidRDefault="00AC71A5" w:rsidP="00AC71A5">
      <w:pPr>
        <w:rPr>
          <w:sz w:val="15"/>
        </w:rPr>
        <w:sectPr w:rsidR="00AC71A5">
          <w:pgSz w:w="11910" w:h="16160"/>
          <w:pgMar w:top="1400" w:right="0" w:bottom="280" w:left="520" w:header="1067" w:footer="0" w:gutter="0"/>
          <w:cols w:space="720"/>
        </w:sectPr>
      </w:pPr>
    </w:p>
    <w:p w:rsidR="00AC71A5" w:rsidRDefault="00AC71A5" w:rsidP="00AC71A5">
      <w:pPr>
        <w:pStyle w:val="a5"/>
        <w:spacing w:before="78" w:line="374" w:lineRule="auto"/>
        <w:ind w:left="1180" w:right="14"/>
        <w:jc w:val="both"/>
      </w:pPr>
      <w:r>
        <w:rPr>
          <w:color w:val="231F20"/>
        </w:rPr>
        <w:lastRenderedPageBreak/>
        <w:t>共发行</w:t>
      </w:r>
      <w:r>
        <w:rPr>
          <w:rFonts w:ascii="Times New Roman" w:eastAsia="Times New Roman"/>
          <w:color w:val="231F20"/>
        </w:rPr>
        <w:t>3050</w:t>
      </w:r>
      <w:r>
        <w:rPr>
          <w:color w:val="231F20"/>
        </w:rPr>
        <w:t>亿美元，高于前两年同期水平。内部</w:t>
      </w:r>
      <w:r>
        <w:rPr>
          <w:rFonts w:ascii="Times New Roman" w:eastAsia="Times New Roman"/>
          <w:color w:val="231F20"/>
        </w:rPr>
        <w:t>TLAC</w:t>
      </w:r>
      <w:r>
        <w:rPr>
          <w:color w:val="231F20"/>
        </w:rPr>
        <w:t>要求落实进展缓慢，且分配</w:t>
      </w:r>
      <w:r>
        <w:rPr>
          <w:rFonts w:ascii="Times New Roman" w:eastAsia="Times New Roman"/>
          <w:color w:val="231F20"/>
        </w:rPr>
        <w:t xml:space="preserve">TLAC </w:t>
      </w:r>
      <w:r>
        <w:rPr>
          <w:color w:val="231F20"/>
        </w:rPr>
        <w:t>的方法在各经济体间存在差异。许多</w:t>
      </w:r>
      <w:r>
        <w:rPr>
          <w:rFonts w:ascii="Times New Roman" w:eastAsia="Times New Roman"/>
          <w:color w:val="231F20"/>
        </w:rPr>
        <w:t xml:space="preserve">G-SIBs </w:t>
      </w:r>
      <w:r>
        <w:rPr>
          <w:color w:val="231F20"/>
        </w:rPr>
        <w:t>开始披露</w:t>
      </w:r>
      <w:r>
        <w:rPr>
          <w:rFonts w:ascii="Times New Roman" w:eastAsia="Times New Roman"/>
          <w:color w:val="231F20"/>
        </w:rPr>
        <w:t>TLAC</w:t>
      </w:r>
      <w:r>
        <w:rPr>
          <w:color w:val="231F20"/>
        </w:rPr>
        <w:t>水平，但少有披露内部</w:t>
      </w:r>
      <w:r>
        <w:rPr>
          <w:rFonts w:ascii="Times New Roman" w:eastAsia="Times New Roman"/>
          <w:color w:val="231F20"/>
        </w:rPr>
        <w:t xml:space="preserve">TLAC </w:t>
      </w:r>
      <w:r>
        <w:rPr>
          <w:color w:val="231F20"/>
        </w:rPr>
        <w:t>情况。</w:t>
      </w:r>
    </w:p>
    <w:p w:rsidR="00AC71A5" w:rsidRDefault="00AC71A5" w:rsidP="00AC71A5">
      <w:pPr>
        <w:pStyle w:val="a5"/>
        <w:spacing w:line="374" w:lineRule="auto"/>
        <w:ind w:left="1180" w:firstLine="425"/>
        <w:jc w:val="both"/>
      </w:pPr>
      <w:r>
        <w:rPr>
          <w:color w:val="231F20"/>
        </w:rPr>
        <w:t>推动《金融机构有效处置机制核心要素》实施。各行业落实《金融机构有效处置机制核心要素》（以下简称《核心要素》） 的进度不一。银行业方面，几乎所有</w:t>
      </w:r>
      <w:r>
        <w:rPr>
          <w:rFonts w:ascii="Times New Roman" w:eastAsia="Times New Roman"/>
          <w:color w:val="231F20"/>
        </w:rPr>
        <w:t xml:space="preserve">G-SIBs </w:t>
      </w:r>
      <w:r>
        <w:rPr>
          <w:color w:val="231F20"/>
        </w:rPr>
        <w:t>母国和关键东道国均已建立了全面的银行处置框架。保险业方面，</w:t>
      </w:r>
      <w:r>
        <w:rPr>
          <w:rFonts w:ascii="Times New Roman" w:eastAsia="Times New Roman"/>
          <w:color w:val="231F20"/>
        </w:rPr>
        <w:t>FSB</w:t>
      </w:r>
      <w:r>
        <w:rPr>
          <w:color w:val="231F20"/>
        </w:rPr>
        <w:t>于</w:t>
      </w:r>
      <w:r>
        <w:rPr>
          <w:rFonts w:ascii="Times New Roman" w:eastAsia="Times New Roman"/>
          <w:color w:val="231F20"/>
        </w:rPr>
        <w:t>2020</w:t>
      </w:r>
      <w:r>
        <w:rPr>
          <w:color w:val="231F20"/>
        </w:rPr>
        <w:t>年</w:t>
      </w:r>
      <w:r>
        <w:rPr>
          <w:rFonts w:ascii="Times New Roman" w:eastAsia="Times New Roman"/>
          <w:color w:val="231F20"/>
        </w:rPr>
        <w:t>8</w:t>
      </w:r>
      <w:r>
        <w:rPr>
          <w:color w:val="231F20"/>
        </w:rPr>
        <w:t>月发布</w:t>
      </w:r>
    </w:p>
    <w:p w:rsidR="00AC71A5" w:rsidRDefault="00AC71A5" w:rsidP="00AC71A5">
      <w:pPr>
        <w:pStyle w:val="a5"/>
        <w:spacing w:before="3" w:line="374" w:lineRule="auto"/>
        <w:ind w:left="1180" w:right="6"/>
        <w:jc w:val="both"/>
      </w:pPr>
      <w:r>
        <w:rPr>
          <w:color w:val="231F20"/>
        </w:rPr>
        <w:t>《核心要素》保险业落实情况评估方法，但各经济体保险业处置机制建设在</w:t>
      </w:r>
      <w:r>
        <w:rPr>
          <w:rFonts w:ascii="Times New Roman" w:eastAsia="Times New Roman"/>
          <w:color w:val="231F20"/>
        </w:rPr>
        <w:t>2020</w:t>
      </w:r>
      <w:r>
        <w:rPr>
          <w:color w:val="231F20"/>
        </w:rPr>
        <w:t>年进展缓慢。中央对手方（</w:t>
      </w:r>
      <w:r>
        <w:rPr>
          <w:rFonts w:ascii="Times New Roman" w:eastAsia="Times New Roman"/>
          <w:color w:val="231F20"/>
        </w:rPr>
        <w:t>CCPs</w:t>
      </w:r>
      <w:r>
        <w:rPr>
          <w:color w:val="231F20"/>
        </w:rPr>
        <w:t>）方面，多数在一个以上经济体具有系统重要性的</w:t>
      </w:r>
      <w:r>
        <w:rPr>
          <w:rFonts w:ascii="Times New Roman" w:eastAsia="Times New Roman"/>
          <w:color w:val="231F20"/>
        </w:rPr>
        <w:t>CCPs</w:t>
      </w:r>
      <w:r>
        <w:rPr>
          <w:color w:val="231F20"/>
        </w:rPr>
        <w:t>已经建立了危机管理小组（</w:t>
      </w:r>
      <w:r>
        <w:rPr>
          <w:rFonts w:ascii="Times New Roman" w:eastAsia="Times New Roman"/>
          <w:color w:val="231F20"/>
        </w:rPr>
        <w:t>CMGs</w:t>
      </w:r>
      <w:r>
        <w:rPr>
          <w:color w:val="231F20"/>
        </w:rPr>
        <w:t>）并被要求制定处置计划，但各经济体建立法定处置机制的工作仍需大力推进。为推动</w:t>
      </w:r>
      <w:r>
        <w:rPr>
          <w:rFonts w:ascii="Times New Roman" w:eastAsia="Times New Roman"/>
          <w:color w:val="231F20"/>
        </w:rPr>
        <w:t>CCPs</w:t>
      </w:r>
      <w:r>
        <w:rPr>
          <w:color w:val="231F20"/>
        </w:rPr>
        <w:t>处置机制建设，</w:t>
      </w:r>
      <w:r>
        <w:rPr>
          <w:rFonts w:ascii="Times New Roman" w:eastAsia="Times New Roman"/>
          <w:color w:val="231F20"/>
        </w:rPr>
        <w:t>FSB</w:t>
      </w:r>
      <w:r>
        <w:rPr>
          <w:color w:val="231F20"/>
        </w:rPr>
        <w:t>于</w:t>
      </w:r>
      <w:r>
        <w:rPr>
          <w:rFonts w:ascii="Times New Roman" w:eastAsia="Times New Roman"/>
          <w:color w:val="231F20"/>
        </w:rPr>
        <w:t>2020</w:t>
      </w:r>
      <w:r>
        <w:rPr>
          <w:color w:val="231F20"/>
        </w:rPr>
        <w:t>年</w:t>
      </w:r>
      <w:r>
        <w:rPr>
          <w:rFonts w:ascii="Times New Roman" w:eastAsia="Times New Roman"/>
          <w:color w:val="231F20"/>
        </w:rPr>
        <w:t>11</w:t>
      </w:r>
      <w:r>
        <w:rPr>
          <w:color w:val="231F20"/>
        </w:rPr>
        <w:t>月发布《关于</w:t>
      </w:r>
      <w:r>
        <w:rPr>
          <w:rFonts w:ascii="Times New Roman" w:eastAsia="Times New Roman"/>
          <w:color w:val="231F20"/>
        </w:rPr>
        <w:t>CCPs</w:t>
      </w:r>
      <w:r>
        <w:rPr>
          <w:color w:val="231F20"/>
        </w:rPr>
        <w:t>处置中的资金来源及对</w:t>
      </w:r>
      <w:r>
        <w:rPr>
          <w:rFonts w:ascii="Times New Roman" w:eastAsia="Times New Roman"/>
          <w:color w:val="231F20"/>
        </w:rPr>
        <w:t>CCPs</w:t>
      </w:r>
      <w:r>
        <w:rPr>
          <w:color w:val="231F20"/>
        </w:rPr>
        <w:t>股权处理的指导意见》，指导</w:t>
      </w:r>
      <w:r>
        <w:rPr>
          <w:rFonts w:ascii="Times New Roman" w:eastAsia="Times New Roman"/>
          <w:color w:val="231F20"/>
        </w:rPr>
        <w:t>CCPs</w:t>
      </w:r>
      <w:r>
        <w:rPr>
          <w:color w:val="231F20"/>
        </w:rPr>
        <w:t>处置当局如何评估</w:t>
      </w:r>
      <w:r>
        <w:rPr>
          <w:rFonts w:ascii="Times New Roman" w:eastAsia="Times New Roman"/>
          <w:color w:val="231F20"/>
        </w:rPr>
        <w:t xml:space="preserve">CCPs </w:t>
      </w:r>
      <w:r>
        <w:rPr>
          <w:color w:val="231F20"/>
        </w:rPr>
        <w:t>处置中可能存在的资源缺口，以及如何分担损失。</w:t>
      </w:r>
    </w:p>
    <w:p w:rsidR="00AC71A5" w:rsidRDefault="00AC71A5" w:rsidP="00AC71A5">
      <w:pPr>
        <w:pStyle w:val="3"/>
        <w:spacing w:before="164"/>
        <w:ind w:left="1577"/>
      </w:pPr>
      <w:r>
        <w:rPr>
          <w:color w:val="231F20"/>
        </w:rPr>
        <w:t>（四）持续监测影子银行体系</w:t>
      </w:r>
    </w:p>
    <w:p w:rsidR="00AC71A5" w:rsidRDefault="00AC71A5" w:rsidP="00AC71A5">
      <w:pPr>
        <w:pStyle w:val="a5"/>
        <w:spacing w:before="9"/>
        <w:rPr>
          <w:sz w:val="22"/>
        </w:rPr>
      </w:pPr>
    </w:p>
    <w:p w:rsidR="00AC71A5" w:rsidRDefault="00AC71A5" w:rsidP="00AC71A5">
      <w:pPr>
        <w:pStyle w:val="a5"/>
        <w:spacing w:before="1"/>
        <w:ind w:left="1605"/>
      </w:pPr>
      <w:r>
        <w:rPr>
          <w:rFonts w:ascii="Times New Roman" w:eastAsia="Times New Roman"/>
          <w:color w:val="231F20"/>
        </w:rPr>
        <w:t>2020</w:t>
      </w:r>
      <w:r>
        <w:rPr>
          <w:color w:val="231F20"/>
        </w:rPr>
        <w:t>年</w:t>
      </w:r>
      <w:r>
        <w:rPr>
          <w:rFonts w:ascii="Times New Roman" w:eastAsia="Times New Roman"/>
          <w:color w:val="231F20"/>
        </w:rPr>
        <w:t>12</w:t>
      </w:r>
      <w:r>
        <w:rPr>
          <w:color w:val="231F20"/>
        </w:rPr>
        <w:t>月，</w:t>
      </w:r>
      <w:r>
        <w:rPr>
          <w:rFonts w:ascii="Times New Roman" w:eastAsia="Times New Roman"/>
          <w:color w:val="231F20"/>
        </w:rPr>
        <w:t>FSB</w:t>
      </w:r>
      <w:r>
        <w:rPr>
          <w:color w:val="231F20"/>
        </w:rPr>
        <w:t>基于</w:t>
      </w:r>
      <w:r>
        <w:rPr>
          <w:rFonts w:ascii="Times New Roman" w:eastAsia="Times New Roman"/>
          <w:color w:val="231F20"/>
        </w:rPr>
        <w:t>2019</w:t>
      </w:r>
      <w:r>
        <w:rPr>
          <w:color w:val="231F20"/>
        </w:rPr>
        <w:t>年末数据发布</w:t>
      </w:r>
    </w:p>
    <w:p w:rsidR="00AC71A5" w:rsidRDefault="00AC71A5" w:rsidP="00AC71A5">
      <w:pPr>
        <w:pStyle w:val="a5"/>
        <w:spacing w:before="150" w:line="374" w:lineRule="auto"/>
        <w:ind w:left="1180" w:right="2"/>
        <w:jc w:val="both"/>
      </w:pPr>
      <w:r>
        <w:rPr>
          <w:color w:val="231F20"/>
          <w:spacing w:val="8"/>
        </w:rPr>
        <w:t>《</w:t>
      </w:r>
      <w:r>
        <w:rPr>
          <w:rFonts w:ascii="Times New Roman" w:eastAsia="Times New Roman"/>
          <w:color w:val="231F20"/>
          <w:spacing w:val="8"/>
        </w:rPr>
        <w:t>2020</w:t>
      </w:r>
      <w:r>
        <w:rPr>
          <w:color w:val="231F20"/>
          <w:spacing w:val="8"/>
        </w:rPr>
        <w:t xml:space="preserve">年全球非银行金融中介监测报告》， </w:t>
      </w:r>
      <w:r>
        <w:rPr>
          <w:color w:val="231F20"/>
          <w:spacing w:val="21"/>
        </w:rPr>
        <w:t>涵盖了</w:t>
      </w:r>
      <w:r>
        <w:rPr>
          <w:rFonts w:ascii="Times New Roman" w:eastAsia="Times New Roman"/>
          <w:color w:val="231F20"/>
          <w:spacing w:val="10"/>
        </w:rPr>
        <w:t>29</w:t>
      </w:r>
      <w:r>
        <w:rPr>
          <w:rFonts w:ascii="Times New Roman" w:eastAsia="Times New Roman"/>
          <w:color w:val="231F20"/>
          <w:spacing w:val="-32"/>
        </w:rPr>
        <w:t xml:space="preserve"> </w:t>
      </w:r>
      <w:proofErr w:type="gramStart"/>
      <w:r>
        <w:rPr>
          <w:color w:val="231F20"/>
          <w:spacing w:val="19"/>
        </w:rPr>
        <w:t>个</w:t>
      </w:r>
      <w:proofErr w:type="gramEnd"/>
      <w:r>
        <w:rPr>
          <w:color w:val="231F20"/>
          <w:spacing w:val="19"/>
        </w:rPr>
        <w:t xml:space="preserve">经济体。广义估算结果显示， </w:t>
      </w:r>
      <w:r>
        <w:rPr>
          <w:rFonts w:ascii="Times New Roman" w:eastAsia="Times New Roman"/>
          <w:color w:val="231F20"/>
          <w:spacing w:val="5"/>
        </w:rPr>
        <w:t>2019</w:t>
      </w:r>
      <w:r>
        <w:rPr>
          <w:color w:val="231F20"/>
          <w:spacing w:val="5"/>
        </w:rPr>
        <w:t>年末全球非银行金融中介规模达</w:t>
      </w:r>
      <w:r>
        <w:rPr>
          <w:rFonts w:ascii="Times New Roman" w:eastAsia="Times New Roman"/>
          <w:color w:val="231F20"/>
          <w:spacing w:val="5"/>
        </w:rPr>
        <w:t>200.2</w:t>
      </w:r>
      <w:proofErr w:type="gramStart"/>
      <w:r>
        <w:rPr>
          <w:color w:val="231F20"/>
        </w:rPr>
        <w:t>万</w:t>
      </w:r>
      <w:r>
        <w:rPr>
          <w:color w:val="231F20"/>
          <w:spacing w:val="7"/>
        </w:rPr>
        <w:t>亿</w:t>
      </w:r>
      <w:proofErr w:type="gramEnd"/>
      <w:r>
        <w:rPr>
          <w:color w:val="231F20"/>
          <w:spacing w:val="7"/>
        </w:rPr>
        <w:t>美元，同比增长</w:t>
      </w:r>
      <w:r>
        <w:rPr>
          <w:rFonts w:ascii="Times New Roman" w:eastAsia="Times New Roman"/>
          <w:color w:val="231F20"/>
          <w:spacing w:val="7"/>
        </w:rPr>
        <w:t>8.9%</w:t>
      </w:r>
      <w:r>
        <w:rPr>
          <w:color w:val="231F20"/>
          <w:spacing w:val="7"/>
        </w:rPr>
        <w:t>，约占监测经济体金</w:t>
      </w:r>
    </w:p>
    <w:p w:rsidR="00AC71A5" w:rsidRDefault="00AC71A5" w:rsidP="00AC71A5">
      <w:pPr>
        <w:pStyle w:val="a5"/>
        <w:spacing w:before="78" w:line="374" w:lineRule="auto"/>
        <w:ind w:left="388" w:right="1401"/>
        <w:jc w:val="both"/>
      </w:pPr>
      <w:r>
        <w:br w:type="column"/>
      </w:r>
      <w:r>
        <w:rPr>
          <w:color w:val="231F20"/>
        </w:rPr>
        <w:lastRenderedPageBreak/>
        <w:t>融资产的</w:t>
      </w:r>
      <w:r>
        <w:rPr>
          <w:rFonts w:ascii="Times New Roman" w:eastAsia="Times New Roman"/>
          <w:color w:val="231F20"/>
        </w:rPr>
        <w:t>49.5%</w:t>
      </w:r>
      <w:r>
        <w:rPr>
          <w:color w:val="231F20"/>
        </w:rPr>
        <w:t>。狭义估算结果显示，全球非银行金融中介规模达</w:t>
      </w:r>
      <w:r>
        <w:rPr>
          <w:rFonts w:ascii="Times New Roman" w:eastAsia="Times New Roman"/>
          <w:color w:val="231F20"/>
        </w:rPr>
        <w:t>57.1</w:t>
      </w:r>
      <w:proofErr w:type="gramStart"/>
      <w:r>
        <w:rPr>
          <w:color w:val="231F20"/>
        </w:rPr>
        <w:t>万亿</w:t>
      </w:r>
      <w:proofErr w:type="gramEnd"/>
      <w:r>
        <w:rPr>
          <w:color w:val="231F20"/>
        </w:rPr>
        <w:t>美元，同比增长</w:t>
      </w:r>
      <w:r>
        <w:rPr>
          <w:rFonts w:ascii="Times New Roman" w:eastAsia="Times New Roman"/>
          <w:color w:val="231F20"/>
        </w:rPr>
        <w:t>11.1%</w:t>
      </w:r>
      <w:r>
        <w:rPr>
          <w:color w:val="231F20"/>
        </w:rPr>
        <w:t>，相当于监测经济体金融资产的</w:t>
      </w:r>
      <w:r>
        <w:rPr>
          <w:rFonts w:ascii="Times New Roman" w:eastAsia="Times New Roman"/>
          <w:color w:val="231F20"/>
        </w:rPr>
        <w:t>14.2%</w:t>
      </w:r>
      <w:r>
        <w:rPr>
          <w:color w:val="231F20"/>
        </w:rPr>
        <w:t>。其中，中国非银行金融中介狭义口径规模为</w:t>
      </w:r>
      <w:r>
        <w:rPr>
          <w:rFonts w:ascii="Times New Roman" w:eastAsia="Times New Roman"/>
          <w:color w:val="231F20"/>
        </w:rPr>
        <w:t>7.8</w:t>
      </w:r>
      <w:proofErr w:type="gramStart"/>
      <w:r>
        <w:rPr>
          <w:color w:val="231F20"/>
        </w:rPr>
        <w:t>万亿</w:t>
      </w:r>
      <w:proofErr w:type="gramEnd"/>
      <w:r>
        <w:rPr>
          <w:color w:val="231F20"/>
        </w:rPr>
        <w:t>美元，位列美国（</w:t>
      </w:r>
      <w:r>
        <w:rPr>
          <w:rFonts w:ascii="Times New Roman" w:eastAsia="Times New Roman"/>
          <w:color w:val="231F20"/>
        </w:rPr>
        <w:t>17.1</w:t>
      </w:r>
      <w:proofErr w:type="gramStart"/>
      <w:r>
        <w:rPr>
          <w:color w:val="231F20"/>
        </w:rPr>
        <w:t>万亿</w:t>
      </w:r>
      <w:proofErr w:type="gramEnd"/>
      <w:r>
        <w:rPr>
          <w:color w:val="231F20"/>
        </w:rPr>
        <w:t>美元）和欧元区（</w:t>
      </w:r>
      <w:r>
        <w:rPr>
          <w:rFonts w:ascii="Times New Roman" w:eastAsia="Times New Roman"/>
          <w:color w:val="231F20"/>
        </w:rPr>
        <w:t>12</w:t>
      </w:r>
      <w:proofErr w:type="gramStart"/>
      <w:r>
        <w:rPr>
          <w:color w:val="231F20"/>
        </w:rPr>
        <w:t>万亿</w:t>
      </w:r>
      <w:proofErr w:type="gramEnd"/>
      <w:r>
        <w:rPr>
          <w:color w:val="231F20"/>
        </w:rPr>
        <w:t>美元）之后，占比自</w:t>
      </w:r>
      <w:r>
        <w:rPr>
          <w:rFonts w:ascii="Times New Roman" w:eastAsia="Times New Roman"/>
          <w:color w:val="231F20"/>
        </w:rPr>
        <w:t>2017</w:t>
      </w:r>
      <w:r>
        <w:rPr>
          <w:color w:val="231F20"/>
        </w:rPr>
        <w:t>年开始下降。</w:t>
      </w:r>
    </w:p>
    <w:p w:rsidR="00AC71A5" w:rsidRDefault="00AC71A5" w:rsidP="00AC71A5">
      <w:pPr>
        <w:pStyle w:val="3"/>
        <w:spacing w:before="163"/>
        <w:ind w:left="785"/>
      </w:pPr>
      <w:r>
        <w:rPr>
          <w:color w:val="231F20"/>
        </w:rPr>
        <w:t>（五）推动场外衍生品市场改革</w:t>
      </w:r>
    </w:p>
    <w:p w:rsidR="00AC71A5" w:rsidRDefault="00AC71A5" w:rsidP="00AC71A5">
      <w:pPr>
        <w:pStyle w:val="a5"/>
        <w:spacing w:before="9"/>
        <w:rPr>
          <w:sz w:val="22"/>
        </w:rPr>
      </w:pPr>
    </w:p>
    <w:p w:rsidR="00AC71A5" w:rsidRDefault="00AC71A5" w:rsidP="00AC71A5">
      <w:pPr>
        <w:pStyle w:val="a5"/>
        <w:spacing w:line="374" w:lineRule="auto"/>
        <w:ind w:left="388" w:right="1392" w:firstLine="425"/>
        <w:jc w:val="both"/>
      </w:pPr>
      <w:r>
        <w:rPr>
          <w:rFonts w:ascii="Times New Roman" w:eastAsia="Times New Roman"/>
          <w:color w:val="231F20"/>
          <w:spacing w:val="16"/>
        </w:rPr>
        <w:t>2020</w:t>
      </w:r>
      <w:r>
        <w:rPr>
          <w:rFonts w:ascii="Times New Roman" w:eastAsia="Times New Roman"/>
          <w:color w:val="231F20"/>
          <w:spacing w:val="-30"/>
        </w:rPr>
        <w:t xml:space="preserve"> </w:t>
      </w:r>
      <w:r>
        <w:rPr>
          <w:color w:val="231F20"/>
          <w:spacing w:val="22"/>
        </w:rPr>
        <w:t>年，场外衍生品市场改革进展缓</w:t>
      </w:r>
      <w:r>
        <w:rPr>
          <w:color w:val="231F20"/>
          <w:spacing w:val="14"/>
        </w:rPr>
        <w:t>慢。截至</w:t>
      </w:r>
      <w:r>
        <w:rPr>
          <w:rFonts w:ascii="Times New Roman" w:eastAsia="Times New Roman"/>
          <w:color w:val="231F20"/>
          <w:spacing w:val="14"/>
        </w:rPr>
        <w:t>2020</w:t>
      </w:r>
      <w:r>
        <w:rPr>
          <w:color w:val="231F20"/>
          <w:spacing w:val="14"/>
        </w:rPr>
        <w:t>年</w:t>
      </w:r>
      <w:r>
        <w:rPr>
          <w:rFonts w:ascii="Times New Roman" w:eastAsia="Times New Roman"/>
          <w:color w:val="231F20"/>
          <w:spacing w:val="14"/>
        </w:rPr>
        <w:t>9</w:t>
      </w:r>
      <w:r>
        <w:rPr>
          <w:color w:val="231F20"/>
          <w:spacing w:val="14"/>
        </w:rPr>
        <w:t>月，</w:t>
      </w:r>
      <w:r>
        <w:rPr>
          <w:rFonts w:ascii="Times New Roman" w:eastAsia="Times New Roman"/>
          <w:color w:val="231F20"/>
          <w:spacing w:val="14"/>
        </w:rPr>
        <w:t>24</w:t>
      </w:r>
      <w:r>
        <w:rPr>
          <w:color w:val="231F20"/>
          <w:spacing w:val="14"/>
        </w:rPr>
        <w:t>个</w:t>
      </w:r>
      <w:r>
        <w:rPr>
          <w:rFonts w:ascii="Times New Roman" w:eastAsia="Times New Roman"/>
          <w:color w:val="231F20"/>
          <w:spacing w:val="14"/>
        </w:rPr>
        <w:t>FSB</w:t>
      </w:r>
      <w:r>
        <w:rPr>
          <w:color w:val="231F20"/>
          <w:spacing w:val="14"/>
        </w:rPr>
        <w:t>成员经济体</w:t>
      </w:r>
      <w:r>
        <w:rPr>
          <w:color w:val="231F20"/>
          <w:spacing w:val="9"/>
        </w:rPr>
        <w:t>中，</w:t>
      </w:r>
      <w:r>
        <w:rPr>
          <w:rFonts w:ascii="Times New Roman" w:eastAsia="Times New Roman"/>
          <w:color w:val="231F20"/>
          <w:spacing w:val="9"/>
        </w:rPr>
        <w:t>23</w:t>
      </w:r>
      <w:r>
        <w:rPr>
          <w:color w:val="231F20"/>
          <w:spacing w:val="9"/>
        </w:rPr>
        <w:t>个经济体落实了非集中清算衍生品的更高资本要求和交易信息报送要求，</w:t>
      </w:r>
      <w:r>
        <w:rPr>
          <w:rFonts w:ascii="Times New Roman" w:eastAsia="Times New Roman"/>
          <w:color w:val="231F20"/>
          <w:spacing w:val="9"/>
        </w:rPr>
        <w:t>17</w:t>
      </w:r>
      <w:r>
        <w:rPr>
          <w:color w:val="231F20"/>
          <w:spacing w:val="9"/>
        </w:rPr>
        <w:t>个经济体落实了集中清算要求，</w:t>
      </w:r>
      <w:r>
        <w:rPr>
          <w:rFonts w:ascii="Times New Roman" w:eastAsia="Times New Roman"/>
          <w:color w:val="231F20"/>
          <w:spacing w:val="9"/>
        </w:rPr>
        <w:t>16</w:t>
      </w:r>
      <w:r>
        <w:rPr>
          <w:color w:val="231F20"/>
          <w:spacing w:val="9"/>
        </w:rPr>
        <w:t>个经济体落实了非集中清算衍生品的保证金要求，</w:t>
      </w:r>
      <w:r>
        <w:rPr>
          <w:rFonts w:ascii="Times New Roman" w:eastAsia="Times New Roman"/>
          <w:color w:val="231F20"/>
          <w:spacing w:val="9"/>
        </w:rPr>
        <w:t>13</w:t>
      </w:r>
      <w:r>
        <w:rPr>
          <w:color w:val="231F20"/>
          <w:spacing w:val="9"/>
        </w:rPr>
        <w:t>个经济体制定了关于平台交易的政策框架，落实</w:t>
      </w:r>
      <w:r>
        <w:rPr>
          <w:color w:val="231F20"/>
        </w:rPr>
        <w:t>情况总体与上年变化不大。</w:t>
      </w:r>
    </w:p>
    <w:p w:rsidR="00AC71A5" w:rsidRDefault="00AC71A5" w:rsidP="00AC71A5">
      <w:pPr>
        <w:pStyle w:val="3"/>
        <w:spacing w:before="164"/>
        <w:ind w:left="785"/>
      </w:pPr>
      <w:r>
        <w:rPr>
          <w:color w:val="231F20"/>
        </w:rPr>
        <w:t>（六）其他</w:t>
      </w:r>
    </w:p>
    <w:p w:rsidR="00AC71A5" w:rsidRDefault="00AC71A5" w:rsidP="00AC71A5">
      <w:pPr>
        <w:pStyle w:val="a5"/>
        <w:spacing w:before="9"/>
        <w:rPr>
          <w:sz w:val="22"/>
        </w:rPr>
      </w:pPr>
    </w:p>
    <w:p w:rsidR="00AC71A5" w:rsidRDefault="00AC71A5" w:rsidP="00AC71A5">
      <w:pPr>
        <w:pStyle w:val="a5"/>
        <w:spacing w:line="374" w:lineRule="auto"/>
        <w:ind w:left="388" w:right="1392" w:firstLine="425"/>
        <w:jc w:val="both"/>
      </w:pPr>
      <w:r>
        <w:rPr>
          <w:color w:val="231F20"/>
          <w:spacing w:val="22"/>
        </w:rPr>
        <w:t>为缓解</w:t>
      </w:r>
      <w:r>
        <w:rPr>
          <w:rFonts w:ascii="Times New Roman" w:eastAsia="Times New Roman"/>
          <w:color w:val="231F20"/>
          <w:spacing w:val="16"/>
        </w:rPr>
        <w:t>2020</w:t>
      </w:r>
      <w:r>
        <w:rPr>
          <w:rFonts w:ascii="Times New Roman" w:eastAsia="Times New Roman"/>
          <w:color w:val="231F20"/>
          <w:spacing w:val="-30"/>
        </w:rPr>
        <w:t xml:space="preserve"> </w:t>
      </w:r>
      <w:r>
        <w:rPr>
          <w:color w:val="231F20"/>
          <w:spacing w:val="22"/>
        </w:rPr>
        <w:t>年新冠肺炎疫情的负面冲</w:t>
      </w:r>
      <w:r>
        <w:rPr>
          <w:color w:val="231F20"/>
          <w:spacing w:val="7"/>
        </w:rPr>
        <w:t>击，国际标准制定机构（</w:t>
      </w:r>
      <w:r>
        <w:rPr>
          <w:rFonts w:ascii="Times New Roman" w:eastAsia="Times New Roman"/>
          <w:color w:val="231F20"/>
          <w:spacing w:val="7"/>
        </w:rPr>
        <w:t>SSBs</w:t>
      </w:r>
      <w:r>
        <w:rPr>
          <w:color w:val="231F20"/>
          <w:spacing w:val="7"/>
        </w:rPr>
        <w:t>）推迟了部分</w:t>
      </w:r>
      <w:r>
        <w:rPr>
          <w:color w:val="231F20"/>
          <w:spacing w:val="9"/>
        </w:rPr>
        <w:t>国际标准的执行期限。为解决目前全球跨境支付体系成本高、速度慢、</w:t>
      </w:r>
      <w:proofErr w:type="gramStart"/>
      <w:r>
        <w:rPr>
          <w:color w:val="231F20"/>
          <w:spacing w:val="9"/>
        </w:rPr>
        <w:t>覆盖面窄和透明度</w:t>
      </w:r>
      <w:proofErr w:type="gramEnd"/>
      <w:r>
        <w:rPr>
          <w:color w:val="231F20"/>
          <w:spacing w:val="9"/>
        </w:rPr>
        <w:t>不足等问题，</w:t>
      </w:r>
      <w:r>
        <w:rPr>
          <w:rFonts w:ascii="Times New Roman" w:eastAsia="Times New Roman"/>
          <w:color w:val="231F20"/>
          <w:spacing w:val="9"/>
        </w:rPr>
        <w:t>FSB</w:t>
      </w:r>
      <w:r>
        <w:rPr>
          <w:color w:val="231F20"/>
          <w:spacing w:val="9"/>
        </w:rPr>
        <w:t>会同相关</w:t>
      </w:r>
      <w:r>
        <w:rPr>
          <w:rFonts w:ascii="Times New Roman" w:eastAsia="Times New Roman"/>
          <w:color w:val="231F20"/>
          <w:spacing w:val="9"/>
        </w:rPr>
        <w:t>SSBs</w:t>
      </w:r>
      <w:r>
        <w:rPr>
          <w:color w:val="231F20"/>
          <w:spacing w:val="9"/>
        </w:rPr>
        <w:t>制定了加强跨境支付的路线图，涉及一致落实跨境支付相关国际标准、推进支付系统直连、研究使用新多边平台的可行性等。国际社会继续</w:t>
      </w:r>
      <w:r>
        <w:rPr>
          <w:color w:val="231F20"/>
        </w:rPr>
        <w:t>推动全球法人识别编码（</w:t>
      </w:r>
      <w:r>
        <w:rPr>
          <w:rFonts w:ascii="Times New Roman" w:eastAsia="Times New Roman"/>
          <w:color w:val="231F20"/>
        </w:rPr>
        <w:t>LEI</w:t>
      </w:r>
      <w:r>
        <w:rPr>
          <w:color w:val="231F20"/>
        </w:rPr>
        <w:t>）的应用，截至</w:t>
      </w:r>
      <w:r>
        <w:rPr>
          <w:rFonts w:ascii="Times New Roman" w:eastAsia="Times New Roman"/>
          <w:color w:val="231F20"/>
          <w:spacing w:val="8"/>
        </w:rPr>
        <w:t>2020</w:t>
      </w:r>
      <w:r>
        <w:rPr>
          <w:color w:val="231F20"/>
          <w:spacing w:val="8"/>
        </w:rPr>
        <w:t>年末，共有</w:t>
      </w:r>
      <w:r>
        <w:rPr>
          <w:rFonts w:ascii="Times New Roman" w:eastAsia="Times New Roman"/>
          <w:color w:val="231F20"/>
          <w:spacing w:val="8"/>
        </w:rPr>
        <w:t>30</w:t>
      </w:r>
      <w:r>
        <w:rPr>
          <w:color w:val="231F20"/>
          <w:spacing w:val="8"/>
        </w:rPr>
        <w:t>个经济体</w:t>
      </w:r>
      <w:proofErr w:type="gramStart"/>
      <w:r>
        <w:rPr>
          <w:color w:val="231F20"/>
          <w:spacing w:val="8"/>
        </w:rPr>
        <w:t>取得发码资格</w:t>
      </w:r>
      <w:proofErr w:type="gramEnd"/>
      <w:r>
        <w:rPr>
          <w:color w:val="231F20"/>
          <w:spacing w:val="8"/>
        </w:rPr>
        <w:t xml:space="preserve">， </w:t>
      </w:r>
      <w:r>
        <w:rPr>
          <w:color w:val="231F20"/>
        </w:rPr>
        <w:t>超过</w:t>
      </w:r>
      <w:r>
        <w:rPr>
          <w:rFonts w:ascii="Times New Roman" w:eastAsia="Times New Roman"/>
          <w:color w:val="231F20"/>
        </w:rPr>
        <w:t>177</w:t>
      </w:r>
      <w:r>
        <w:rPr>
          <w:color w:val="231F20"/>
        </w:rPr>
        <w:t>万个法人申请获得</w:t>
      </w:r>
      <w:r>
        <w:rPr>
          <w:rFonts w:ascii="Times New Roman" w:eastAsia="Times New Roman"/>
          <w:color w:val="231F20"/>
        </w:rPr>
        <w:t>LEI</w:t>
      </w:r>
      <w:r>
        <w:rPr>
          <w:color w:val="231F20"/>
        </w:rPr>
        <w:t>编码。</w:t>
      </w:r>
    </w:p>
    <w:p w:rsidR="00AC71A5" w:rsidRDefault="00AC71A5" w:rsidP="00AC71A5">
      <w:pPr>
        <w:spacing w:line="374" w:lineRule="auto"/>
        <w:jc w:val="both"/>
        <w:sectPr w:rsidR="00AC71A5">
          <w:type w:val="continuous"/>
          <w:pgSz w:w="11910" w:h="16160"/>
          <w:pgMar w:top="1520" w:right="0" w:bottom="280" w:left="520" w:header="720" w:footer="720" w:gutter="0"/>
          <w:cols w:num="2" w:space="720" w:equalWidth="0">
            <w:col w:w="5373" w:space="40"/>
            <w:col w:w="5977"/>
          </w:cols>
        </w:sectPr>
      </w:pPr>
    </w:p>
    <w:p w:rsidR="00AC71A5" w:rsidRDefault="00AC71A5" w:rsidP="00AC71A5">
      <w:pPr>
        <w:pStyle w:val="a5"/>
        <w:rPr>
          <w:sz w:val="20"/>
        </w:rPr>
      </w:pPr>
    </w:p>
    <w:p w:rsidR="00AC71A5" w:rsidRDefault="00AC71A5" w:rsidP="00AC71A5">
      <w:pPr>
        <w:pStyle w:val="a5"/>
        <w:spacing w:before="5"/>
        <w:rPr>
          <w:sz w:val="16"/>
        </w:rPr>
      </w:pPr>
    </w:p>
    <w:p w:rsidR="00AC71A5" w:rsidRDefault="00AC71A5" w:rsidP="00AC71A5">
      <w:pPr>
        <w:rPr>
          <w:sz w:val="16"/>
        </w:rPr>
        <w:sectPr w:rsidR="00AC71A5">
          <w:pgSz w:w="11910" w:h="16160"/>
          <w:pgMar w:top="1400" w:right="0" w:bottom="280" w:left="520" w:header="1067" w:footer="0" w:gutter="0"/>
          <w:cols w:space="720"/>
        </w:sectPr>
      </w:pPr>
    </w:p>
    <w:p w:rsidR="00AC71A5" w:rsidRDefault="00AC71A5" w:rsidP="00AC71A5">
      <w:pPr>
        <w:spacing w:before="61"/>
        <w:ind w:left="1362"/>
        <w:rPr>
          <w:rFonts w:ascii="黑体" w:eastAsia="黑体"/>
          <w:sz w:val="28"/>
        </w:rPr>
      </w:pPr>
      <w:r>
        <w:rPr>
          <w:rFonts w:ascii="黑体" w:eastAsia="黑体" w:hint="eastAsia"/>
          <w:color w:val="0A376A"/>
          <w:sz w:val="28"/>
        </w:rPr>
        <w:lastRenderedPageBreak/>
        <w:t>二、主要经济体实践</w:t>
      </w:r>
    </w:p>
    <w:p w:rsidR="00AC71A5" w:rsidRDefault="00AC71A5" w:rsidP="00AC71A5">
      <w:pPr>
        <w:pStyle w:val="a5"/>
        <w:rPr>
          <w:rFonts w:ascii="黑体"/>
          <w:sz w:val="28"/>
        </w:rPr>
      </w:pPr>
    </w:p>
    <w:p w:rsidR="00AC71A5" w:rsidRDefault="00AC71A5" w:rsidP="00AC71A5">
      <w:pPr>
        <w:pStyle w:val="a5"/>
        <w:spacing w:before="1"/>
        <w:rPr>
          <w:rFonts w:ascii="黑体"/>
        </w:rPr>
      </w:pPr>
    </w:p>
    <w:p w:rsidR="00AC71A5" w:rsidRDefault="00AC71A5" w:rsidP="00AC71A5">
      <w:pPr>
        <w:pStyle w:val="3"/>
        <w:ind w:left="1294"/>
      </w:pPr>
      <w:r>
        <w:rPr>
          <w:color w:val="231F20"/>
        </w:rPr>
        <w:t>（一）美国</w:t>
      </w:r>
    </w:p>
    <w:p w:rsidR="00AC71A5" w:rsidRDefault="00AC71A5" w:rsidP="00AC71A5">
      <w:pPr>
        <w:pStyle w:val="a5"/>
        <w:spacing w:before="9"/>
        <w:rPr>
          <w:sz w:val="22"/>
        </w:rPr>
      </w:pPr>
    </w:p>
    <w:p w:rsidR="00AC71A5" w:rsidRDefault="00AC71A5" w:rsidP="00AC71A5">
      <w:pPr>
        <w:pStyle w:val="a5"/>
        <w:spacing w:before="1" w:line="374" w:lineRule="auto"/>
        <w:ind w:left="897" w:firstLine="425"/>
        <w:jc w:val="both"/>
      </w:pPr>
      <w:r>
        <w:rPr>
          <w:color w:val="231F20"/>
        </w:rPr>
        <w:t>系统性风险监测和评估。</w:t>
      </w:r>
      <w:r>
        <w:rPr>
          <w:rFonts w:ascii="Times New Roman" w:eastAsia="Times New Roman"/>
          <w:color w:val="231F20"/>
        </w:rPr>
        <w:t>2020</w:t>
      </w:r>
      <w:r>
        <w:rPr>
          <w:color w:val="231F20"/>
        </w:rPr>
        <w:t>年</w:t>
      </w:r>
      <w:r>
        <w:rPr>
          <w:rFonts w:ascii="Times New Roman" w:eastAsia="Times New Roman"/>
          <w:color w:val="231F20"/>
        </w:rPr>
        <w:t>12</w:t>
      </w:r>
      <w:r>
        <w:rPr>
          <w:color w:val="231F20"/>
        </w:rPr>
        <w:t>月， 美国金融稳定监督委员会（</w:t>
      </w:r>
      <w:r>
        <w:rPr>
          <w:rFonts w:ascii="Times New Roman" w:eastAsia="Times New Roman"/>
          <w:color w:val="231F20"/>
        </w:rPr>
        <w:t>FSOC</w:t>
      </w:r>
      <w:r>
        <w:rPr>
          <w:color w:val="231F20"/>
        </w:rPr>
        <w:t>）发布年度报告，认为</w:t>
      </w:r>
      <w:r>
        <w:rPr>
          <w:rFonts w:ascii="Times New Roman" w:eastAsia="Times New Roman"/>
          <w:color w:val="231F20"/>
        </w:rPr>
        <w:t>2020</w:t>
      </w:r>
      <w:r>
        <w:rPr>
          <w:color w:val="231F20"/>
        </w:rPr>
        <w:t>年新冠肺炎疫情给全球金融体系带来了前所未有的冲击。尽管当局采取的非常规政策措施有效改善了市场状况，但与</w:t>
      </w:r>
      <w:r>
        <w:rPr>
          <w:rFonts w:ascii="Times New Roman" w:eastAsia="Times New Roman"/>
          <w:color w:val="231F20"/>
        </w:rPr>
        <w:t>2019</w:t>
      </w:r>
      <w:r>
        <w:rPr>
          <w:color w:val="231F20"/>
        </w:rPr>
        <w:t>年相比，美国金融体系仍然面临较高风险，经济复苏前景取决于疫情严重程度和持续时间。当前金融体系存在的主要风险包括：非金融企业面临债务可持续性压力，商业地产易受抵押贷款违约和估值下降影响； 短期批发融资市场存在结构脆弱性，部分开放式基金在危机期间面临更大的赎回压力； 非银行金融机构发放住房抵押贷款过度依赖短期融资，损失吸收能力较差；</w:t>
      </w:r>
      <w:r>
        <w:rPr>
          <w:rFonts w:ascii="Times New Roman" w:eastAsia="Times New Roman"/>
          <w:color w:val="231F20"/>
        </w:rPr>
        <w:t>CCPs</w:t>
      </w:r>
      <w:r>
        <w:rPr>
          <w:color w:val="231F20"/>
        </w:rPr>
        <w:t>服务中断易造成风险跨机构蔓延；采用其他基准利率代替</w:t>
      </w:r>
      <w:r>
        <w:rPr>
          <w:rFonts w:ascii="Times New Roman" w:eastAsia="Times New Roman"/>
          <w:color w:val="231F20"/>
        </w:rPr>
        <w:t>LIBOR</w:t>
      </w:r>
      <w:r>
        <w:rPr>
          <w:color w:val="231F20"/>
        </w:rPr>
        <w:t>过程中可能存在法律、操作和经济风险；金融数据无法满足有效监管和公司内部风险管理的需求；金融机构对信息技术，特别是互联网平台和第三</w:t>
      </w:r>
      <w:proofErr w:type="gramStart"/>
      <w:r>
        <w:rPr>
          <w:color w:val="231F20"/>
        </w:rPr>
        <w:t>方供应</w:t>
      </w:r>
      <w:proofErr w:type="gramEnd"/>
      <w:r>
        <w:rPr>
          <w:color w:val="231F20"/>
        </w:rPr>
        <w:t>商的依赖增加了操作风险。</w:t>
      </w:r>
    </w:p>
    <w:p w:rsidR="00AC71A5" w:rsidRDefault="00AC71A5" w:rsidP="00AC71A5">
      <w:pPr>
        <w:pStyle w:val="a5"/>
        <w:spacing w:before="5" w:line="374" w:lineRule="auto"/>
        <w:ind w:left="897" w:firstLine="425"/>
        <w:jc w:val="both"/>
      </w:pPr>
      <w:r>
        <w:rPr>
          <w:color w:val="231F20"/>
        </w:rPr>
        <w:t>开展压力测试。美联储在</w:t>
      </w:r>
      <w:r>
        <w:rPr>
          <w:rFonts w:ascii="Times New Roman" w:eastAsia="Times New Roman"/>
          <w:color w:val="231F20"/>
        </w:rPr>
        <w:t>2020</w:t>
      </w:r>
      <w:r>
        <w:rPr>
          <w:color w:val="231F20"/>
        </w:rPr>
        <w:t>年底对</w:t>
      </w:r>
      <w:r>
        <w:rPr>
          <w:rFonts w:ascii="Times New Roman" w:eastAsia="Times New Roman"/>
          <w:color w:val="231F20"/>
        </w:rPr>
        <w:t xml:space="preserve">33 </w:t>
      </w:r>
      <w:r>
        <w:rPr>
          <w:color w:val="231F20"/>
        </w:rPr>
        <w:t>家银行开展了压力测试，根据截至</w:t>
      </w:r>
      <w:r>
        <w:rPr>
          <w:rFonts w:ascii="Times New Roman" w:eastAsia="Times New Roman"/>
          <w:color w:val="231F20"/>
        </w:rPr>
        <w:t>2020</w:t>
      </w:r>
      <w:r>
        <w:rPr>
          <w:color w:val="231F20"/>
        </w:rPr>
        <w:t>年</w:t>
      </w:r>
      <w:r>
        <w:rPr>
          <w:rFonts w:ascii="Times New Roman" w:eastAsia="Times New Roman"/>
          <w:color w:val="231F20"/>
        </w:rPr>
        <w:t>9</w:t>
      </w:r>
      <w:r>
        <w:rPr>
          <w:color w:val="231F20"/>
        </w:rPr>
        <w:t>月底的宏观经济和金融情况设置了严峻但合理的不利假设。结果表明，</w:t>
      </w:r>
      <w:r>
        <w:rPr>
          <w:rFonts w:ascii="Times New Roman" w:eastAsia="Times New Roman"/>
          <w:color w:val="231F20"/>
        </w:rPr>
        <w:t>33</w:t>
      </w:r>
      <w:r>
        <w:rPr>
          <w:color w:val="231F20"/>
        </w:rPr>
        <w:t>家银行总体上将经历暂时的收入下降和亏损，但仍可以继续向信誉良好的企业和家庭提供贷款，资本充</w:t>
      </w:r>
    </w:p>
    <w:p w:rsidR="00AC71A5" w:rsidRDefault="00AC71A5" w:rsidP="00AC71A5">
      <w:pPr>
        <w:pStyle w:val="a5"/>
        <w:spacing w:before="60" w:line="374" w:lineRule="auto"/>
        <w:ind w:left="402" w:right="1685"/>
        <w:jc w:val="both"/>
      </w:pPr>
      <w:r>
        <w:br w:type="column"/>
      </w:r>
      <w:proofErr w:type="gramStart"/>
      <w:r>
        <w:rPr>
          <w:color w:val="231F20"/>
        </w:rPr>
        <w:lastRenderedPageBreak/>
        <w:t>足水平</w:t>
      </w:r>
      <w:proofErr w:type="gramEnd"/>
      <w:r>
        <w:rPr>
          <w:color w:val="231F20"/>
        </w:rPr>
        <w:t>高于监管最低要求。其中，在重度压力情景下，全球经济严重衰退，金融市场压力飙升，</w:t>
      </w:r>
      <w:r>
        <w:rPr>
          <w:rFonts w:ascii="Times New Roman" w:eastAsia="Times New Roman"/>
          <w:color w:val="231F20"/>
        </w:rPr>
        <w:t>2021</w:t>
      </w:r>
      <w:r>
        <w:rPr>
          <w:color w:val="231F20"/>
        </w:rPr>
        <w:t>年第四季度，美国失业率升至</w:t>
      </w:r>
      <w:r>
        <w:rPr>
          <w:rFonts w:ascii="Times New Roman" w:eastAsia="Times New Roman"/>
          <w:color w:val="231F20"/>
        </w:rPr>
        <w:t>12.5%</w:t>
      </w:r>
      <w:r>
        <w:rPr>
          <w:color w:val="231F20"/>
        </w:rPr>
        <w:t>的峰值，实际</w:t>
      </w:r>
      <w:r>
        <w:rPr>
          <w:rFonts w:ascii="Times New Roman" w:eastAsia="Times New Roman"/>
          <w:color w:val="231F20"/>
        </w:rPr>
        <w:t>GDP</w:t>
      </w:r>
      <w:r>
        <w:rPr>
          <w:color w:val="231F20"/>
        </w:rPr>
        <w:t>较</w:t>
      </w:r>
      <w:r>
        <w:rPr>
          <w:rFonts w:ascii="Times New Roman" w:eastAsia="Times New Roman"/>
          <w:color w:val="231F20"/>
        </w:rPr>
        <w:t>2020</w:t>
      </w:r>
      <w:r>
        <w:rPr>
          <w:color w:val="231F20"/>
        </w:rPr>
        <w:t>年第三季度末下降</w:t>
      </w:r>
      <w:r>
        <w:rPr>
          <w:rFonts w:ascii="Times New Roman" w:eastAsia="Times New Roman"/>
          <w:color w:val="231F20"/>
        </w:rPr>
        <w:t>3.25%</w:t>
      </w:r>
      <w:r>
        <w:rPr>
          <w:color w:val="231F20"/>
        </w:rPr>
        <w:t>达到谷底，股票价格跌幅超过</w:t>
      </w:r>
      <w:r>
        <w:rPr>
          <w:rFonts w:ascii="Times New Roman" w:eastAsia="Times New Roman"/>
          <w:color w:val="231F20"/>
        </w:rPr>
        <w:t>30%</w:t>
      </w:r>
      <w:r>
        <w:rPr>
          <w:color w:val="231F20"/>
        </w:rPr>
        <w:t>。在此情景下，</w:t>
      </w:r>
      <w:r>
        <w:rPr>
          <w:rFonts w:ascii="Times New Roman" w:eastAsia="Times New Roman"/>
          <w:color w:val="231F20"/>
        </w:rPr>
        <w:t>33</w:t>
      </w:r>
      <w:r>
        <w:rPr>
          <w:color w:val="231F20"/>
        </w:rPr>
        <w:t>家银行的核心一级资本充足率从</w:t>
      </w:r>
      <w:r>
        <w:rPr>
          <w:rFonts w:ascii="Times New Roman" w:eastAsia="Times New Roman"/>
          <w:color w:val="231F20"/>
        </w:rPr>
        <w:t>2020</w:t>
      </w:r>
      <w:r>
        <w:rPr>
          <w:color w:val="231F20"/>
        </w:rPr>
        <w:t>年第二季度的</w:t>
      </w:r>
      <w:r>
        <w:rPr>
          <w:rFonts w:ascii="Times New Roman" w:eastAsia="Times New Roman"/>
          <w:color w:val="231F20"/>
        </w:rPr>
        <w:t>12.2%</w:t>
      </w:r>
      <w:r>
        <w:rPr>
          <w:color w:val="231F20"/>
        </w:rPr>
        <w:t>最低降至</w:t>
      </w:r>
      <w:r>
        <w:rPr>
          <w:rFonts w:ascii="Times New Roman" w:eastAsia="Times New Roman"/>
          <w:color w:val="231F20"/>
        </w:rPr>
        <w:t>9.6%</w:t>
      </w:r>
      <w:r>
        <w:rPr>
          <w:color w:val="231F20"/>
        </w:rPr>
        <w:t>，预计总损失为</w:t>
      </w:r>
      <w:r>
        <w:rPr>
          <w:rFonts w:ascii="Times New Roman" w:eastAsia="Times New Roman"/>
          <w:color w:val="231F20"/>
        </w:rPr>
        <w:t>6290</w:t>
      </w:r>
      <w:r>
        <w:rPr>
          <w:color w:val="231F20"/>
        </w:rPr>
        <w:t>亿美元。</w:t>
      </w:r>
    </w:p>
    <w:p w:rsidR="00AC71A5" w:rsidRDefault="00AC71A5" w:rsidP="00AC71A5">
      <w:pPr>
        <w:pStyle w:val="a5"/>
        <w:spacing w:before="2" w:line="374" w:lineRule="auto"/>
        <w:ind w:left="402" w:right="1688" w:firstLine="425"/>
        <w:jc w:val="both"/>
      </w:pPr>
      <w:r>
        <w:rPr>
          <w:color w:val="231F20"/>
        </w:rPr>
        <w:t>完善宏观审慎监管框架。为应对疫情冲击，监管部门采取了一系列行动，以支持信贷和减轻金融机构负担，主要包括鼓励银行释放资本缓冲向受疫情影响的家庭和企业提供贷款；临时修改杠杆率规则并降低社区银行杠杆率要求。此外，监管部门在其他方面的政策行动还包括：建立判断公司对银行是否拥有控制权的全面框架；将压力测试结果运用到确定银行资本充足要求中，简化大型银行资本框架；修改沃尔克规则，放松关于禁止银行投资对冲基金或私</w:t>
      </w:r>
      <w:proofErr w:type="gramStart"/>
      <w:r>
        <w:rPr>
          <w:color w:val="231F20"/>
        </w:rPr>
        <w:t>募股权基金</w:t>
      </w:r>
      <w:proofErr w:type="gramEnd"/>
      <w:r>
        <w:rPr>
          <w:color w:val="231F20"/>
        </w:rPr>
        <w:t>的限制；出台</w:t>
      </w:r>
      <w:proofErr w:type="gramStart"/>
      <w:r>
        <w:rPr>
          <w:color w:val="231F20"/>
        </w:rPr>
        <w:t>净稳定</w:t>
      </w:r>
      <w:proofErr w:type="gramEnd"/>
      <w:r>
        <w:rPr>
          <w:color w:val="231F20"/>
        </w:rPr>
        <w:t>资金比率（</w:t>
      </w:r>
      <w:r>
        <w:rPr>
          <w:rFonts w:ascii="Times New Roman" w:eastAsia="Times New Roman"/>
          <w:color w:val="231F20"/>
        </w:rPr>
        <w:t>NSFR</w:t>
      </w:r>
      <w:r>
        <w:rPr>
          <w:color w:val="231F20"/>
        </w:rPr>
        <w:t>）最终规则；就</w:t>
      </w:r>
      <w:proofErr w:type="gramStart"/>
      <w:r>
        <w:rPr>
          <w:color w:val="231F20"/>
        </w:rPr>
        <w:t>银行互持</w:t>
      </w:r>
      <w:proofErr w:type="gramEnd"/>
      <w:r>
        <w:rPr>
          <w:rFonts w:ascii="Times New Roman" w:eastAsia="Times New Roman"/>
          <w:color w:val="231F20"/>
        </w:rPr>
        <w:t>TLAC</w:t>
      </w:r>
      <w:r>
        <w:rPr>
          <w:color w:val="231F20"/>
        </w:rPr>
        <w:t>工具出台更严格的资本要求等。</w:t>
      </w:r>
    </w:p>
    <w:p w:rsidR="00AC71A5" w:rsidRDefault="00AC71A5" w:rsidP="00AC71A5">
      <w:pPr>
        <w:pStyle w:val="3"/>
        <w:spacing w:before="165"/>
        <w:ind w:left="799"/>
      </w:pPr>
      <w:r>
        <w:rPr>
          <w:color w:val="231F20"/>
        </w:rPr>
        <w:t>（二）欧盟</w:t>
      </w:r>
    </w:p>
    <w:p w:rsidR="00AC71A5" w:rsidRDefault="00AC71A5" w:rsidP="00AC71A5">
      <w:pPr>
        <w:pStyle w:val="a5"/>
        <w:spacing w:before="9"/>
        <w:rPr>
          <w:sz w:val="22"/>
        </w:rPr>
      </w:pPr>
    </w:p>
    <w:p w:rsidR="00AC71A5" w:rsidRDefault="00AC71A5" w:rsidP="00AC71A5">
      <w:pPr>
        <w:pStyle w:val="a5"/>
        <w:spacing w:line="374" w:lineRule="auto"/>
        <w:ind w:left="402" w:right="1688" w:firstLine="425"/>
        <w:jc w:val="both"/>
      </w:pPr>
      <w:r>
        <w:rPr>
          <w:color w:val="231F20"/>
        </w:rPr>
        <w:t>系统性风险监测和评估。</w:t>
      </w:r>
      <w:r>
        <w:rPr>
          <w:rFonts w:ascii="Times New Roman" w:eastAsia="Times New Roman"/>
          <w:color w:val="231F20"/>
        </w:rPr>
        <w:t>2020</w:t>
      </w:r>
      <w:r>
        <w:rPr>
          <w:color w:val="231F20"/>
        </w:rPr>
        <w:t>年</w:t>
      </w:r>
      <w:r>
        <w:rPr>
          <w:rFonts w:ascii="Times New Roman" w:eastAsia="Times New Roman"/>
          <w:color w:val="231F20"/>
        </w:rPr>
        <w:t>11</w:t>
      </w:r>
      <w:r>
        <w:rPr>
          <w:color w:val="231F20"/>
        </w:rPr>
        <w:t>月， 欧央行发布金融稳定报告，指出新冠肺炎疫情冲击仍是决定未来欧元区金融稳定的重要因素。短期来看，大规模支持政策有助于缓解部分金融稳定风险，政策过早退出可能带来挑战。展望未来，欧元区金融体系中期</w:t>
      </w:r>
      <w:proofErr w:type="gramStart"/>
      <w:r>
        <w:rPr>
          <w:color w:val="231F20"/>
        </w:rPr>
        <w:t>脆</w:t>
      </w:r>
      <w:proofErr w:type="gramEnd"/>
    </w:p>
    <w:p w:rsidR="00AC71A5" w:rsidRDefault="00AC71A5" w:rsidP="00AC71A5">
      <w:pPr>
        <w:spacing w:line="374" w:lineRule="auto"/>
        <w:jc w:val="both"/>
        <w:sectPr w:rsidR="00AC71A5">
          <w:type w:val="continuous"/>
          <w:pgSz w:w="11910" w:h="16160"/>
          <w:pgMar w:top="1520" w:right="0" w:bottom="280" w:left="520" w:header="720" w:footer="720" w:gutter="0"/>
          <w:cols w:num="2" w:space="720" w:equalWidth="0">
            <w:col w:w="5075" w:space="40"/>
            <w:col w:w="6275"/>
          </w:cols>
        </w:sectPr>
      </w:pPr>
    </w:p>
    <w:p w:rsidR="00AC71A5" w:rsidRDefault="00AC71A5" w:rsidP="00AC71A5">
      <w:pPr>
        <w:pStyle w:val="a5"/>
        <w:rPr>
          <w:sz w:val="20"/>
        </w:rPr>
      </w:pPr>
    </w:p>
    <w:p w:rsidR="00AC71A5" w:rsidRDefault="00AC71A5" w:rsidP="00AC71A5">
      <w:pPr>
        <w:pStyle w:val="a5"/>
        <w:spacing w:before="7"/>
        <w:rPr>
          <w:sz w:val="16"/>
        </w:rPr>
      </w:pPr>
    </w:p>
    <w:p w:rsidR="00AC71A5" w:rsidRDefault="00AC71A5" w:rsidP="00AC71A5">
      <w:pPr>
        <w:rPr>
          <w:sz w:val="16"/>
        </w:rPr>
        <w:sectPr w:rsidR="00AC71A5">
          <w:pgSz w:w="11910" w:h="16160"/>
          <w:pgMar w:top="1400" w:right="0" w:bottom="280" w:left="520" w:header="1067" w:footer="0" w:gutter="0"/>
          <w:cols w:space="720"/>
        </w:sectPr>
      </w:pPr>
    </w:p>
    <w:p w:rsidR="00AC71A5" w:rsidRDefault="00AC71A5" w:rsidP="00AC71A5">
      <w:pPr>
        <w:pStyle w:val="a5"/>
        <w:spacing w:before="58" w:line="374" w:lineRule="auto"/>
        <w:ind w:left="1180" w:right="8"/>
        <w:jc w:val="both"/>
      </w:pPr>
      <w:r>
        <w:rPr>
          <w:color w:val="231F20"/>
        </w:rPr>
        <w:lastRenderedPageBreak/>
        <w:t>弱性仍在上升：一是存在部分资产错误定价以及市场调整的可能；二是非金融部门（包括私营部门和公共部门）的脆弱性增加；三是由于利率下降和预期信贷损失增加，银行盈利能力减弱；四是非银行金融机构（特别是投资基金）过度承担风险。上述脆弱性可能相互放大，进一步威胁金融稳定。</w:t>
      </w:r>
    </w:p>
    <w:p w:rsidR="00AC71A5" w:rsidRDefault="00AC71A5" w:rsidP="00AC71A5">
      <w:pPr>
        <w:pStyle w:val="a5"/>
        <w:spacing w:before="2" w:line="374" w:lineRule="auto"/>
        <w:ind w:left="1180" w:right="8" w:firstLine="425"/>
        <w:jc w:val="both"/>
      </w:pPr>
      <w:r>
        <w:rPr>
          <w:color w:val="231F20"/>
        </w:rPr>
        <w:t>完善宏观审慎政策框架。为应对疫情冲击，欧元区多数成员经济体降低了逆周期资本缓冲（</w:t>
      </w:r>
      <w:r>
        <w:rPr>
          <w:rFonts w:ascii="Times New Roman" w:eastAsia="Times New Roman"/>
          <w:color w:val="231F20"/>
        </w:rPr>
        <w:t>CCyB</w:t>
      </w:r>
      <w:r>
        <w:rPr>
          <w:color w:val="231F20"/>
        </w:rPr>
        <w:t>）要求，截至</w:t>
      </w:r>
      <w:r>
        <w:rPr>
          <w:rFonts w:ascii="Times New Roman" w:eastAsia="Times New Roman"/>
          <w:color w:val="231F20"/>
        </w:rPr>
        <w:t>2020</w:t>
      </w:r>
      <w:r>
        <w:rPr>
          <w:color w:val="231F20"/>
        </w:rPr>
        <w:t>年</w:t>
      </w:r>
      <w:r>
        <w:rPr>
          <w:rFonts w:ascii="Times New Roman" w:eastAsia="Times New Roman"/>
          <w:color w:val="231F20"/>
        </w:rPr>
        <w:t>12</w:t>
      </w:r>
      <w:r>
        <w:rPr>
          <w:color w:val="231F20"/>
        </w:rPr>
        <w:t>月，仅卢森堡和斯洛伐克保持正值；一些经济体还降低了系统性风险缓冲（</w:t>
      </w:r>
      <w:r>
        <w:rPr>
          <w:rFonts w:ascii="Times New Roman" w:eastAsia="Times New Roman"/>
          <w:color w:val="231F20"/>
        </w:rPr>
        <w:t>SyRB</w:t>
      </w:r>
      <w:r>
        <w:rPr>
          <w:color w:val="231F20"/>
        </w:rPr>
        <w:t>）和其他系统重要性机构（</w:t>
      </w:r>
      <w:r>
        <w:rPr>
          <w:rFonts w:ascii="Times New Roman" w:eastAsia="Times New Roman"/>
          <w:color w:val="231F20"/>
        </w:rPr>
        <w:t>O-SIIs</w:t>
      </w:r>
      <w:r>
        <w:rPr>
          <w:color w:val="231F20"/>
        </w:rPr>
        <w:t>）附加资本要求，这些措施释放了欧元区银行超过</w:t>
      </w:r>
      <w:r>
        <w:rPr>
          <w:rFonts w:ascii="Times New Roman" w:eastAsia="Times New Roman"/>
          <w:color w:val="231F20"/>
        </w:rPr>
        <w:t>200</w:t>
      </w:r>
      <w:r>
        <w:rPr>
          <w:color w:val="231F20"/>
        </w:rPr>
        <w:t>亿欧元的核心一级资本，有力支持了其吸收损失和维持信贷投放。此外，一些经济体推迟执行已宣布的宏观审慎措施，如荷兰推迟了对国内抵押贷款敞口计提附加资本的规定。</w:t>
      </w:r>
    </w:p>
    <w:p w:rsidR="00AC71A5" w:rsidRDefault="00AC71A5" w:rsidP="00AC71A5">
      <w:pPr>
        <w:pStyle w:val="a5"/>
        <w:spacing w:before="3" w:line="374" w:lineRule="auto"/>
        <w:ind w:left="1180" w:firstLine="425"/>
        <w:jc w:val="both"/>
      </w:pPr>
      <w:proofErr w:type="gramStart"/>
      <w:r>
        <w:rPr>
          <w:color w:val="231F20"/>
          <w:spacing w:val="21"/>
        </w:rPr>
        <w:t>监测非</w:t>
      </w:r>
      <w:proofErr w:type="gramEnd"/>
      <w:r>
        <w:rPr>
          <w:color w:val="231F20"/>
          <w:spacing w:val="21"/>
        </w:rPr>
        <w:t>银行金融中介业务。</w:t>
      </w:r>
      <w:r>
        <w:rPr>
          <w:rFonts w:ascii="Times New Roman" w:eastAsia="Times New Roman"/>
          <w:color w:val="231F20"/>
          <w:spacing w:val="15"/>
        </w:rPr>
        <w:t>2020</w:t>
      </w:r>
      <w:r>
        <w:rPr>
          <w:rFonts w:ascii="Times New Roman" w:eastAsia="Times New Roman"/>
          <w:color w:val="231F20"/>
          <w:spacing w:val="-31"/>
        </w:rPr>
        <w:t xml:space="preserve"> </w:t>
      </w:r>
      <w:r>
        <w:rPr>
          <w:color w:val="231F20"/>
          <w:spacing w:val="21"/>
        </w:rPr>
        <w:t>年</w:t>
      </w:r>
      <w:r>
        <w:rPr>
          <w:rFonts w:ascii="Times New Roman" w:eastAsia="Times New Roman"/>
          <w:color w:val="231F20"/>
          <w:spacing w:val="10"/>
        </w:rPr>
        <w:t xml:space="preserve">10 </w:t>
      </w:r>
      <w:r>
        <w:rPr>
          <w:color w:val="231F20"/>
          <w:spacing w:val="14"/>
        </w:rPr>
        <w:t>月，欧洲系统性风险委员会（</w:t>
      </w:r>
      <w:r>
        <w:rPr>
          <w:rFonts w:ascii="Times New Roman" w:eastAsia="Times New Roman"/>
          <w:color w:val="231F20"/>
          <w:spacing w:val="14"/>
        </w:rPr>
        <w:t>ESRB</w:t>
      </w:r>
      <w:r>
        <w:rPr>
          <w:color w:val="231F20"/>
          <w:spacing w:val="14"/>
        </w:rPr>
        <w:t>）发布</w:t>
      </w:r>
      <w:r>
        <w:rPr>
          <w:color w:val="231F20"/>
          <w:spacing w:val="8"/>
        </w:rPr>
        <w:t>欧盟非银行金融中介监测报告。截至</w:t>
      </w:r>
      <w:r>
        <w:rPr>
          <w:rFonts w:ascii="Times New Roman" w:eastAsia="Times New Roman"/>
          <w:color w:val="231F20"/>
          <w:spacing w:val="8"/>
        </w:rPr>
        <w:t>2019</w:t>
      </w:r>
      <w:r>
        <w:rPr>
          <w:color w:val="231F20"/>
        </w:rPr>
        <w:t>年末，欧盟非银行金融中介规模约为</w:t>
      </w:r>
      <w:r>
        <w:rPr>
          <w:rFonts w:ascii="Times New Roman" w:eastAsia="Times New Roman"/>
          <w:color w:val="231F20"/>
        </w:rPr>
        <w:t>45.5</w:t>
      </w:r>
      <w:proofErr w:type="gramStart"/>
      <w:r>
        <w:rPr>
          <w:color w:val="231F20"/>
        </w:rPr>
        <w:t>万亿</w:t>
      </w:r>
      <w:proofErr w:type="gramEnd"/>
      <w:r>
        <w:rPr>
          <w:color w:val="231F20"/>
        </w:rPr>
        <w:t>欧</w:t>
      </w:r>
      <w:r>
        <w:rPr>
          <w:color w:val="231F20"/>
          <w:spacing w:val="7"/>
        </w:rPr>
        <w:t>元，较</w:t>
      </w:r>
      <w:r>
        <w:rPr>
          <w:rFonts w:ascii="Times New Roman" w:eastAsia="Times New Roman"/>
          <w:color w:val="231F20"/>
          <w:spacing w:val="7"/>
        </w:rPr>
        <w:t>2018</w:t>
      </w:r>
      <w:r>
        <w:rPr>
          <w:color w:val="231F20"/>
          <w:spacing w:val="7"/>
        </w:rPr>
        <w:t>年末增长</w:t>
      </w:r>
      <w:r>
        <w:rPr>
          <w:rFonts w:ascii="Times New Roman" w:eastAsia="Times New Roman"/>
          <w:color w:val="231F20"/>
          <w:spacing w:val="7"/>
        </w:rPr>
        <w:t>6.7%</w:t>
      </w:r>
      <w:r>
        <w:rPr>
          <w:color w:val="231F20"/>
          <w:spacing w:val="6"/>
        </w:rPr>
        <w:t>，主要反映了投资</w:t>
      </w:r>
      <w:r>
        <w:rPr>
          <w:color w:val="231F20"/>
          <w:spacing w:val="9"/>
        </w:rPr>
        <w:t>基金所持资产价格上涨。非银行金融中介面临的风险和潜在脆弱性包括：高风险借款人信用风险上升，评级下调；预计利率将在较长时间内保持低位，为追逐高收益，投资基金持有</w:t>
      </w:r>
      <w:proofErr w:type="gramStart"/>
      <w:r>
        <w:rPr>
          <w:color w:val="231F20"/>
          <w:spacing w:val="9"/>
        </w:rPr>
        <w:t>资产久期拉长</w:t>
      </w:r>
      <w:proofErr w:type="gramEnd"/>
      <w:r>
        <w:rPr>
          <w:color w:val="231F20"/>
          <w:spacing w:val="9"/>
        </w:rPr>
        <w:t>、风险更高，使用更高</w:t>
      </w:r>
    </w:p>
    <w:p w:rsidR="00AC71A5" w:rsidRDefault="00AC71A5" w:rsidP="00AC71A5">
      <w:pPr>
        <w:pStyle w:val="a5"/>
        <w:spacing w:before="58" w:line="374" w:lineRule="auto"/>
        <w:ind w:left="392" w:right="1404"/>
        <w:jc w:val="both"/>
      </w:pPr>
      <w:r>
        <w:br w:type="column"/>
      </w:r>
      <w:r>
        <w:rPr>
          <w:color w:val="231F20"/>
        </w:rPr>
        <w:lastRenderedPageBreak/>
        <w:t>的杠杆，加剧脆弱性积聚；银行、保险和投资基金等非银行金融中介通过融资、所有权关系或持有同类资产等方式相互关联，可能加剧风险传染；在市场剧烈波动时期，保证金要求等机制可能会放大流动性风险；开展更全面的风险评估存在数据缺口等。</w:t>
      </w:r>
    </w:p>
    <w:p w:rsidR="00AC71A5" w:rsidRDefault="00AC71A5" w:rsidP="00AC71A5">
      <w:pPr>
        <w:pStyle w:val="3"/>
        <w:spacing w:before="163"/>
        <w:ind w:left="789"/>
      </w:pPr>
      <w:r>
        <w:rPr>
          <w:color w:val="231F20"/>
        </w:rPr>
        <w:t>（三）英国</w:t>
      </w:r>
    </w:p>
    <w:p w:rsidR="00AC71A5" w:rsidRDefault="00AC71A5" w:rsidP="00AC71A5">
      <w:pPr>
        <w:pStyle w:val="a5"/>
        <w:spacing w:before="9"/>
        <w:rPr>
          <w:sz w:val="22"/>
        </w:rPr>
      </w:pPr>
    </w:p>
    <w:p w:rsidR="00AC71A5" w:rsidRDefault="00AC71A5" w:rsidP="00AC71A5">
      <w:pPr>
        <w:pStyle w:val="a5"/>
        <w:spacing w:line="374" w:lineRule="auto"/>
        <w:ind w:left="392" w:right="1403" w:firstLine="425"/>
        <w:jc w:val="both"/>
      </w:pPr>
      <w:r>
        <w:rPr>
          <w:color w:val="231F20"/>
        </w:rPr>
        <w:t>系统性风险监测和评估。</w:t>
      </w:r>
      <w:r>
        <w:rPr>
          <w:rFonts w:ascii="Times New Roman" w:eastAsia="Times New Roman" w:hAnsi="Times New Roman"/>
          <w:color w:val="231F20"/>
        </w:rPr>
        <w:t>2020</w:t>
      </w:r>
      <w:r>
        <w:rPr>
          <w:color w:val="231F20"/>
        </w:rPr>
        <w:t>年</w:t>
      </w:r>
      <w:r>
        <w:rPr>
          <w:rFonts w:ascii="Times New Roman" w:eastAsia="Times New Roman" w:hAnsi="Times New Roman"/>
          <w:color w:val="231F20"/>
        </w:rPr>
        <w:t>12</w:t>
      </w:r>
      <w:r>
        <w:rPr>
          <w:color w:val="231F20"/>
        </w:rPr>
        <w:t>月， 英格兰银行金融政策委员会（</w:t>
      </w:r>
      <w:r>
        <w:rPr>
          <w:rFonts w:ascii="Times New Roman" w:eastAsia="Times New Roman" w:hAnsi="Times New Roman"/>
          <w:color w:val="231F20"/>
        </w:rPr>
        <w:t>FPC</w:t>
      </w:r>
      <w:r>
        <w:rPr>
          <w:color w:val="231F20"/>
        </w:rPr>
        <w:t>）发布金融稳定报告称，新冠肺炎疫情给英国经济增长带来巨大压力，但得益于国际金融危机以来积累的大量资本缓冲以及当局面对疫情的政策响应，英国金融体系有能力持续向企业和家庭提供资金。主要银行资本充足，</w:t>
      </w:r>
      <w:r>
        <w:rPr>
          <w:rFonts w:ascii="Times New Roman" w:eastAsia="Times New Roman" w:hAnsi="Times New Roman"/>
          <w:color w:val="231F20"/>
        </w:rPr>
        <w:t xml:space="preserve">2020 </w:t>
      </w:r>
      <w:r>
        <w:rPr>
          <w:color w:val="231F20"/>
        </w:rPr>
        <w:t>年</w:t>
      </w:r>
      <w:r>
        <w:rPr>
          <w:rFonts w:ascii="Times New Roman" w:eastAsia="Times New Roman" w:hAnsi="Times New Roman"/>
          <w:color w:val="231F20"/>
        </w:rPr>
        <w:t>9</w:t>
      </w:r>
      <w:r>
        <w:rPr>
          <w:color w:val="231F20"/>
        </w:rPr>
        <w:t>月，主要银行核心一级资本充足率上升至</w:t>
      </w:r>
      <w:r>
        <w:rPr>
          <w:rFonts w:ascii="Times New Roman" w:eastAsia="Times New Roman" w:hAnsi="Times New Roman"/>
          <w:color w:val="231F20"/>
        </w:rPr>
        <w:t>15.8</w:t>
      </w:r>
      <w:r>
        <w:rPr>
          <w:color w:val="231F20"/>
        </w:rPr>
        <w:t>％，是国际金融危机爆发时的</w:t>
      </w:r>
      <w:r>
        <w:rPr>
          <w:rFonts w:ascii="Times New Roman" w:eastAsia="Times New Roman" w:hAnsi="Times New Roman"/>
          <w:color w:val="231F20"/>
        </w:rPr>
        <w:t>3</w:t>
      </w:r>
      <w:r>
        <w:rPr>
          <w:color w:val="231F20"/>
        </w:rPr>
        <w:t>倍多，预计英国银行业有能力吸收约</w:t>
      </w:r>
      <w:r>
        <w:rPr>
          <w:rFonts w:ascii="Times New Roman" w:eastAsia="Times New Roman" w:hAnsi="Times New Roman"/>
          <w:color w:val="231F20"/>
        </w:rPr>
        <w:t>2000</w:t>
      </w:r>
      <w:r>
        <w:rPr>
          <w:color w:val="231F20"/>
        </w:rPr>
        <w:t>亿英镑的信贷损失。当前英国金融体系面临的主要风险有：企业破产和债务违约可能回升；风险资产价格存在调整的可能，“堕落天使</w:t>
      </w:r>
      <w:r>
        <w:rPr>
          <w:color w:val="231F20"/>
          <w:w w:val="115"/>
        </w:rPr>
        <w:t>”</w:t>
      </w:r>
      <w:r>
        <w:rPr>
          <w:rFonts w:ascii="Courier New" w:eastAsia="Courier New" w:hAnsi="Courier New"/>
          <w:color w:val="231F20"/>
          <w:w w:val="115"/>
          <w:position w:val="9"/>
          <w:sz w:val="12"/>
        </w:rPr>
        <w:t>a</w:t>
      </w:r>
      <w:r>
        <w:rPr>
          <w:color w:val="231F20"/>
        </w:rPr>
        <w:t>风险在未来一到两年仍保持较高水平，高收益债券市场面临挑战等。</w:t>
      </w:r>
    </w:p>
    <w:p w:rsidR="00AC71A5" w:rsidRDefault="00AC71A5" w:rsidP="00AC71A5">
      <w:pPr>
        <w:pStyle w:val="a5"/>
        <w:spacing w:before="4" w:line="374" w:lineRule="auto"/>
        <w:ind w:left="392" w:right="1404" w:firstLine="425"/>
        <w:jc w:val="both"/>
      </w:pPr>
      <w:r>
        <w:rPr>
          <w:color w:val="231F20"/>
        </w:rPr>
        <w:t>完善宏观审慎政策框架。为应对新冠肺炎疫情冲击，鼓励金融机构向家庭和企业提供信贷支持，英国采取了较为宽松的宏观审慎政策，主要措施包括：支持银行释放资本缓冲投放信贷；至少在</w:t>
      </w:r>
      <w:r>
        <w:rPr>
          <w:rFonts w:ascii="Times New Roman" w:eastAsia="Times New Roman"/>
          <w:color w:val="231F20"/>
        </w:rPr>
        <w:t>2021</w:t>
      </w:r>
      <w:r>
        <w:rPr>
          <w:color w:val="231F20"/>
        </w:rPr>
        <w:t>年第四季度之前</w:t>
      </w:r>
    </w:p>
    <w:p w:rsidR="00AC71A5" w:rsidRDefault="00AC71A5" w:rsidP="00AC71A5">
      <w:pPr>
        <w:spacing w:line="374" w:lineRule="auto"/>
        <w:jc w:val="both"/>
        <w:sectPr w:rsidR="00AC71A5">
          <w:type w:val="continuous"/>
          <w:pgSz w:w="11910" w:h="16160"/>
          <w:pgMar w:top="1520" w:right="0" w:bottom="280" w:left="520" w:header="720" w:footer="720" w:gutter="0"/>
          <w:cols w:num="2" w:space="720" w:equalWidth="0">
            <w:col w:w="5369" w:space="40"/>
            <w:col w:w="5981"/>
          </w:cols>
        </w:sectPr>
      </w:pPr>
    </w:p>
    <w:p w:rsidR="00AC71A5" w:rsidRDefault="00AC71A5" w:rsidP="00AC71A5">
      <w:pPr>
        <w:pStyle w:val="a5"/>
        <w:rPr>
          <w:sz w:val="20"/>
        </w:rPr>
      </w:pPr>
    </w:p>
    <w:p w:rsidR="00AC71A5" w:rsidRDefault="00AC71A5" w:rsidP="00AC71A5">
      <w:pPr>
        <w:pStyle w:val="a5"/>
        <w:spacing w:before="12"/>
        <w:rPr>
          <w:sz w:val="10"/>
        </w:rPr>
      </w:pPr>
    </w:p>
    <w:p w:rsidR="00AC71A5" w:rsidRDefault="00AC71A5" w:rsidP="00AC71A5">
      <w:pPr>
        <w:pStyle w:val="a5"/>
        <w:spacing w:line="20" w:lineRule="exact"/>
        <w:ind w:left="1175"/>
        <w:rPr>
          <w:sz w:val="2"/>
        </w:rPr>
      </w:pPr>
      <w:r>
        <w:rPr>
          <w:noProof/>
          <w:sz w:val="2"/>
          <w:lang w:val="en-US" w:bidi="ar-SA"/>
        </w:rPr>
        <mc:AlternateContent>
          <mc:Choice Requires="wpg">
            <w:drawing>
              <wp:inline distT="0" distB="0" distL="0" distR="0" wp14:anchorId="5C68FC30" wp14:editId="429F9687">
                <wp:extent cx="1152525" cy="6350"/>
                <wp:effectExtent l="9525" t="10795" r="9525" b="1905"/>
                <wp:docPr id="2"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2525" cy="6350"/>
                          <a:chOff x="0" y="0"/>
                          <a:chExt cx="1815" cy="10"/>
                        </a:xfrm>
                      </wpg:grpSpPr>
                      <wps:wsp>
                        <wps:cNvPr id="2113" name="Line 3"/>
                        <wps:cNvCnPr/>
                        <wps:spPr bwMode="auto">
                          <a:xfrm>
                            <a:off x="0" y="5"/>
                            <a:ext cx="181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组合 2" o:spid="_x0000_s1026" style="width:90.75pt;height:.5pt;mso-position-horizontal-relative:char;mso-position-vertical-relative:line" coordsize="18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">
                <v:line id="Line 3" o:spid="_x0000_s1027" style="position:absolute;visibility:visible;mso-wrap-style:square" from="0,5" to="18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Y0occAAADdAAAADwAAAGRycy9kb3ducmV2LnhtbESP0WrCQBRE3wv9h+UW+lJ0EwOlRFcp&#10;BUH6oK3pB1yz1yS4ezdmVxP9+q4g+DjMzBlmthisEWfqfONYQTpOQBCXTjdcKfgrlqMPED4gazSO&#10;ScGFPCzmz08zzLXr+ZfO21CJCGGfo4I6hDaX0pc1WfRj1xJHb+86iyHKrpK6wz7CrZGTJHmXFhuO&#10;CzW29FVTedierILi+BbMz+bb9MVml8ndcZ1dT2ulXl+GzymIQEN4hO/tlVYwSdMMbm/iE5Dz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BjShxwAAAN0AAAAPAAAAAAAA&#10;AAAAAAAAAKECAABkcnMvZG93bnJldi54bWxQSwUGAAAAAAQABAD5AAAAlQMAAAAA&#10;" strokecolor="#231f20" strokeweight=".5pt"/>
                <w10:anchorlock/>
              </v:group>
            </w:pict>
          </mc:Fallback>
        </mc:AlternateContent>
      </w:r>
    </w:p>
    <w:p w:rsidR="00AC71A5" w:rsidRDefault="00AC71A5" w:rsidP="00AC71A5">
      <w:pPr>
        <w:spacing w:before="159"/>
        <w:ind w:left="1520"/>
        <w:rPr>
          <w:sz w:val="16"/>
        </w:rPr>
      </w:pPr>
      <w:r>
        <w:rPr>
          <w:rFonts w:ascii="Courier New" w:eastAsia="Courier New"/>
          <w:color w:val="231F20"/>
          <w:w w:val="155"/>
          <w:sz w:val="16"/>
        </w:rPr>
        <w:t>a</w:t>
      </w:r>
      <w:r>
        <w:rPr>
          <w:rFonts w:ascii="Courier New" w:eastAsia="Courier New"/>
          <w:color w:val="231F20"/>
          <w:spacing w:val="-111"/>
          <w:w w:val="155"/>
          <w:sz w:val="16"/>
        </w:rPr>
        <w:t xml:space="preserve"> </w:t>
      </w:r>
      <w:r>
        <w:rPr>
          <w:color w:val="231F20"/>
          <w:w w:val="105"/>
          <w:sz w:val="16"/>
        </w:rPr>
        <w:t>指债券因信用评级下调而丧失投资级债券资质。</w:t>
      </w:r>
    </w:p>
    <w:p w:rsidR="00AC71A5" w:rsidRDefault="00AC71A5" w:rsidP="00AC71A5">
      <w:pPr>
        <w:rPr>
          <w:sz w:val="16"/>
        </w:rPr>
        <w:sectPr w:rsidR="00AC71A5">
          <w:type w:val="continuous"/>
          <w:pgSz w:w="11910" w:h="16160"/>
          <w:pgMar w:top="1520" w:right="0" w:bottom="280" w:left="520" w:header="720" w:footer="720" w:gutter="0"/>
          <w:cols w:space="720"/>
        </w:sectPr>
      </w:pPr>
    </w:p>
    <w:p w:rsidR="00AC71A5" w:rsidRDefault="00AC71A5" w:rsidP="00AC71A5">
      <w:pPr>
        <w:pStyle w:val="a5"/>
        <w:rPr>
          <w:sz w:val="20"/>
        </w:rPr>
      </w:pPr>
    </w:p>
    <w:p w:rsidR="00AC71A5" w:rsidRDefault="00AC71A5" w:rsidP="00AC71A5">
      <w:pPr>
        <w:pStyle w:val="a5"/>
        <w:rPr>
          <w:sz w:val="15"/>
        </w:rPr>
      </w:pPr>
    </w:p>
    <w:p w:rsidR="00AC71A5" w:rsidRDefault="00AC71A5" w:rsidP="00AC71A5">
      <w:pPr>
        <w:rPr>
          <w:sz w:val="15"/>
        </w:rPr>
        <w:sectPr w:rsidR="00AC71A5">
          <w:pgSz w:w="11910" w:h="16160"/>
          <w:pgMar w:top="1400" w:right="0" w:bottom="280" w:left="520" w:header="1067" w:footer="0" w:gutter="0"/>
          <w:cols w:space="720"/>
        </w:sectPr>
      </w:pPr>
    </w:p>
    <w:p w:rsidR="00AC71A5" w:rsidRDefault="00AC71A5" w:rsidP="00AC71A5">
      <w:pPr>
        <w:pStyle w:val="a5"/>
        <w:spacing w:before="78" w:line="374" w:lineRule="auto"/>
        <w:ind w:left="897" w:right="9"/>
        <w:jc w:val="both"/>
      </w:pPr>
      <w:r>
        <w:rPr>
          <w:color w:val="231F20"/>
        </w:rPr>
        <w:lastRenderedPageBreak/>
        <w:t>将逆周期资本缓冲比率维持在</w:t>
      </w:r>
      <w:r>
        <w:rPr>
          <w:rFonts w:ascii="Times New Roman" w:eastAsia="Times New Roman"/>
          <w:color w:val="231F20"/>
        </w:rPr>
        <w:t>0</w:t>
      </w:r>
      <w:r>
        <w:rPr>
          <w:color w:val="231F20"/>
        </w:rPr>
        <w:t>；暂时取消针对主要银行的年度周期性情景压力测试，推迟两年一次的探索性情景压力测试；将系统性风险缓冲比率维持在</w:t>
      </w:r>
      <w:r>
        <w:rPr>
          <w:rFonts w:ascii="Times New Roman" w:eastAsia="Times New Roman"/>
          <w:color w:val="231F20"/>
        </w:rPr>
        <w:t>2019</w:t>
      </w:r>
      <w:r>
        <w:rPr>
          <w:color w:val="231F20"/>
        </w:rPr>
        <w:t>年</w:t>
      </w:r>
      <w:r>
        <w:rPr>
          <w:rFonts w:ascii="Times New Roman" w:eastAsia="Times New Roman"/>
          <w:color w:val="231F20"/>
        </w:rPr>
        <w:t>12</w:t>
      </w:r>
      <w:r>
        <w:rPr>
          <w:color w:val="231F20"/>
        </w:rPr>
        <w:t>月设定的水平，并将于</w:t>
      </w:r>
      <w:r>
        <w:rPr>
          <w:rFonts w:ascii="Times New Roman" w:eastAsia="Times New Roman"/>
          <w:color w:val="231F20"/>
        </w:rPr>
        <w:t>2021</w:t>
      </w:r>
      <w:r>
        <w:rPr>
          <w:color w:val="231F20"/>
        </w:rPr>
        <w:t>年</w:t>
      </w:r>
      <w:r>
        <w:rPr>
          <w:rFonts w:ascii="Times New Roman" w:eastAsia="Times New Roman"/>
          <w:color w:val="231F20"/>
        </w:rPr>
        <w:t>12</w:t>
      </w:r>
      <w:r>
        <w:rPr>
          <w:color w:val="231F20"/>
        </w:rPr>
        <w:t>月再次评估等。</w:t>
      </w:r>
    </w:p>
    <w:p w:rsidR="00AC71A5" w:rsidRDefault="00AC71A5" w:rsidP="00AC71A5">
      <w:pPr>
        <w:pStyle w:val="a5"/>
        <w:rPr>
          <w:sz w:val="22"/>
        </w:rPr>
      </w:pPr>
    </w:p>
    <w:p w:rsidR="00AC71A5" w:rsidRDefault="00AC71A5" w:rsidP="00AC71A5">
      <w:pPr>
        <w:spacing w:before="174"/>
        <w:ind w:left="1362"/>
        <w:rPr>
          <w:rFonts w:ascii="黑体" w:eastAsia="黑体"/>
          <w:sz w:val="28"/>
        </w:rPr>
      </w:pPr>
      <w:r>
        <w:rPr>
          <w:rFonts w:ascii="黑体" w:eastAsia="黑体" w:hint="eastAsia"/>
          <w:color w:val="0A376A"/>
          <w:sz w:val="28"/>
        </w:rPr>
        <w:t>三、我国实践</w:t>
      </w:r>
    </w:p>
    <w:p w:rsidR="00AC71A5" w:rsidRDefault="00AC71A5" w:rsidP="00AC71A5">
      <w:pPr>
        <w:pStyle w:val="a5"/>
        <w:spacing w:before="6"/>
        <w:rPr>
          <w:rFonts w:ascii="黑体"/>
          <w:sz w:val="36"/>
        </w:rPr>
      </w:pPr>
    </w:p>
    <w:p w:rsidR="00AC71A5" w:rsidRDefault="00AC71A5" w:rsidP="00AC71A5">
      <w:pPr>
        <w:pStyle w:val="a5"/>
        <w:spacing w:line="374" w:lineRule="auto"/>
        <w:ind w:left="897" w:right="9" w:firstLine="425"/>
        <w:jc w:val="both"/>
      </w:pPr>
      <w:r>
        <w:rPr>
          <w:rFonts w:ascii="Times New Roman" w:eastAsia="Times New Roman"/>
          <w:color w:val="231F20"/>
        </w:rPr>
        <w:t>2020</w:t>
      </w:r>
      <w:r>
        <w:rPr>
          <w:color w:val="231F20"/>
        </w:rPr>
        <w:t>年，我国继续强化宏观审慎管理体制和政策框架，加强金融监管协调，完善风险监测识别体系，积极采取多项宏观审慎政策措施。</w:t>
      </w:r>
    </w:p>
    <w:p w:rsidR="00AC71A5" w:rsidRDefault="00AC71A5" w:rsidP="00AC71A5">
      <w:pPr>
        <w:pStyle w:val="a5"/>
        <w:spacing w:before="1" w:line="374" w:lineRule="auto"/>
        <w:ind w:left="897" w:firstLine="425"/>
        <w:jc w:val="both"/>
      </w:pPr>
      <w:r>
        <w:rPr>
          <w:color w:val="231F20"/>
        </w:rPr>
        <w:t>进一步加强金融政策统筹协调。</w:t>
      </w:r>
      <w:r>
        <w:rPr>
          <w:rFonts w:ascii="Times New Roman" w:eastAsia="Times New Roman" w:hAnsi="Times New Roman"/>
          <w:color w:val="231F20"/>
        </w:rPr>
        <w:t xml:space="preserve">2020 </w:t>
      </w:r>
      <w:r>
        <w:rPr>
          <w:color w:val="231F20"/>
        </w:rPr>
        <w:t>年以来，面对新冠肺炎疫情带来的复杂严峻局面，国务院金融稳定发展委员会（以下简称金融委）加强统筹协调，先后召开</w:t>
      </w:r>
      <w:r>
        <w:rPr>
          <w:rFonts w:ascii="Times New Roman" w:eastAsia="Times New Roman" w:hAnsi="Times New Roman"/>
          <w:color w:val="231F20"/>
        </w:rPr>
        <w:t>33</w:t>
      </w:r>
      <w:r>
        <w:rPr>
          <w:color w:val="231F20"/>
        </w:rPr>
        <w:t>次全体会议和多次专题会议，果断出台有力有效、专业精准的创新性措施，用制度和政策的确定性稳定市场预期，加大力度打好防范化解重大金融风险攻坚战，实现了以最小代价促进经济率先取得正增长，金融风险处置取得重要阶段性成果。一是及时采取逆周期调节政策。确定了“稳预期、扩总量、分类抓、重展期、创工具”的工作方针，创设直达实体经济的货币政策工具，推动货币信贷实现“量增、价降、面扩”，既做到在较短时间内促进经济正增长，又推动金融服务实体经济的体制机制更加完善。二是统筹推动打好防范化解重大金融风险攻坚战。继续抓好存量风险化解，切实加强增量风险防范，</w:t>
      </w:r>
    </w:p>
    <w:p w:rsidR="00AC71A5" w:rsidRDefault="00AC71A5" w:rsidP="00AC71A5">
      <w:pPr>
        <w:pStyle w:val="a5"/>
        <w:spacing w:before="78" w:line="374" w:lineRule="auto"/>
        <w:ind w:left="391" w:right="1688"/>
        <w:jc w:val="both"/>
      </w:pPr>
      <w:r>
        <w:br w:type="column"/>
      </w:r>
      <w:r>
        <w:rPr>
          <w:color w:val="231F20"/>
        </w:rPr>
        <w:lastRenderedPageBreak/>
        <w:t>加大中小银行资本补充力度，加强对金融创新的审慎监管，强化反垄断和防止资本无序扩张。三是统筹深化金融改革。确立“建制度、不干预、零容忍”的工作方针，部署实施创业</w:t>
      </w:r>
      <w:proofErr w:type="gramStart"/>
      <w:r>
        <w:rPr>
          <w:color w:val="231F20"/>
        </w:rPr>
        <w:t>板注册</w:t>
      </w:r>
      <w:proofErr w:type="gramEnd"/>
      <w:r>
        <w:rPr>
          <w:color w:val="231F20"/>
        </w:rPr>
        <w:t>制和新三板改革试点，严厉打击财务造假。推动中小银行和开发性、政策性金融机构改革。加强中央地方金融监管协调，建立</w:t>
      </w:r>
      <w:proofErr w:type="gramStart"/>
      <w:r>
        <w:rPr>
          <w:color w:val="231F20"/>
        </w:rPr>
        <w:t>金融委</w:t>
      </w:r>
      <w:proofErr w:type="gramEnd"/>
      <w:r>
        <w:rPr>
          <w:color w:val="231F20"/>
        </w:rPr>
        <w:t>办公室地方协调机制。四是推进更高水平对外开放，彻底取消银行、证券、保险业外资持股比例限制，取消合格境外机构投资者（</w:t>
      </w:r>
      <w:r>
        <w:rPr>
          <w:rFonts w:ascii="Times New Roman" w:eastAsia="Times New Roman" w:hAnsi="Times New Roman"/>
          <w:color w:val="231F20"/>
        </w:rPr>
        <w:t>QFII</w:t>
      </w:r>
      <w:r>
        <w:rPr>
          <w:color w:val="231F20"/>
        </w:rPr>
        <w:t>）</w:t>
      </w:r>
      <w:r>
        <w:rPr>
          <w:rFonts w:ascii="Times New Roman" w:eastAsia="Times New Roman" w:hAnsi="Times New Roman"/>
          <w:color w:val="231F20"/>
        </w:rPr>
        <w:t>/</w:t>
      </w:r>
      <w:r>
        <w:rPr>
          <w:color w:val="231F20"/>
        </w:rPr>
        <w:t>人民币合格境外机构投资者（</w:t>
      </w:r>
      <w:r>
        <w:rPr>
          <w:rFonts w:ascii="Times New Roman" w:eastAsia="Times New Roman" w:hAnsi="Times New Roman"/>
          <w:color w:val="231F20"/>
        </w:rPr>
        <w:t>RQFII</w:t>
      </w:r>
      <w:r>
        <w:rPr>
          <w:color w:val="231F20"/>
        </w:rPr>
        <w:t>）投资额度及</w:t>
      </w:r>
      <w:r>
        <w:rPr>
          <w:rFonts w:ascii="Times New Roman" w:eastAsia="Times New Roman" w:hAnsi="Times New Roman"/>
          <w:color w:val="231F20"/>
        </w:rPr>
        <w:t>RQFII</w:t>
      </w:r>
      <w:r>
        <w:rPr>
          <w:color w:val="231F20"/>
        </w:rPr>
        <w:t>试点国家和地区限制。</w:t>
      </w:r>
    </w:p>
    <w:p w:rsidR="00AC71A5" w:rsidRDefault="00AC71A5" w:rsidP="00AC71A5">
      <w:pPr>
        <w:pStyle w:val="a5"/>
        <w:spacing w:before="3" w:line="374" w:lineRule="auto"/>
        <w:ind w:left="391" w:right="1688" w:firstLine="425"/>
        <w:jc w:val="both"/>
      </w:pPr>
      <w:r>
        <w:rPr>
          <w:color w:val="231F20"/>
        </w:rPr>
        <w:t>加强系统性风险监测评估。持续做好银行业、证券业、保险业、金融市场的风险监测工作，及时预警风险，</w:t>
      </w:r>
      <w:proofErr w:type="gramStart"/>
      <w:r>
        <w:rPr>
          <w:color w:val="231F20"/>
        </w:rPr>
        <w:t>研</w:t>
      </w:r>
      <w:proofErr w:type="gramEnd"/>
      <w:r>
        <w:rPr>
          <w:color w:val="231F20"/>
        </w:rPr>
        <w:t>提应对之策。组织对全部</w:t>
      </w:r>
      <w:r>
        <w:rPr>
          <w:rFonts w:ascii="Times New Roman" w:eastAsia="Times New Roman"/>
          <w:color w:val="231F20"/>
        </w:rPr>
        <w:t>4000</w:t>
      </w:r>
      <w:r>
        <w:rPr>
          <w:color w:val="231F20"/>
        </w:rPr>
        <w:t>余家银行业金融机构进行压力测试，不断扩大测试范围，及时进行风险提示，引导金融机构稳健经营。稳步推进央行金融机构评级工作，按季对全国</w:t>
      </w:r>
      <w:r>
        <w:rPr>
          <w:rFonts w:ascii="Times New Roman" w:eastAsia="Times New Roman"/>
          <w:color w:val="231F20"/>
        </w:rPr>
        <w:t>4000</w:t>
      </w:r>
      <w:r>
        <w:rPr>
          <w:color w:val="231F20"/>
        </w:rPr>
        <w:t>多家金融机构开展央行金融机构评级，摸清风险底数，精准</w:t>
      </w:r>
      <w:proofErr w:type="gramStart"/>
      <w:r>
        <w:rPr>
          <w:color w:val="231F20"/>
        </w:rPr>
        <w:t>识别高</w:t>
      </w:r>
      <w:proofErr w:type="gramEnd"/>
      <w:r>
        <w:rPr>
          <w:color w:val="231F20"/>
        </w:rPr>
        <w:t>风险机构。建立重点银行流动性风险监测报告机制，密切监测流动性状况，测算流动性缺口，及时进行风险警示。继续针对上市公司大股东股票质押风险、公</w:t>
      </w:r>
      <w:proofErr w:type="gramStart"/>
      <w:r>
        <w:rPr>
          <w:color w:val="231F20"/>
        </w:rPr>
        <w:t>募基金</w:t>
      </w:r>
      <w:proofErr w:type="gramEnd"/>
      <w:r>
        <w:rPr>
          <w:color w:val="231F20"/>
        </w:rPr>
        <w:t>流动性风险等开展压力测试，运用金融市场压力指数监测股票、债券、货币和外汇等市场风险。积极开展保险公司稳健性现场评估和非现场监测，重点关注不当关联交易、大股东占款、股权结构不稳定等风险，</w:t>
      </w:r>
    </w:p>
    <w:p w:rsidR="00AC71A5" w:rsidRDefault="00AC71A5" w:rsidP="00AC71A5">
      <w:pPr>
        <w:spacing w:line="374" w:lineRule="auto"/>
        <w:jc w:val="both"/>
        <w:sectPr w:rsidR="00AC71A5">
          <w:type w:val="continuous"/>
          <w:pgSz w:w="11910" w:h="16160"/>
          <w:pgMar w:top="1520" w:right="0" w:bottom="280" w:left="520" w:header="720" w:footer="720" w:gutter="0"/>
          <w:cols w:num="2" w:space="720" w:equalWidth="0">
            <w:col w:w="5087" w:space="40"/>
            <w:col w:w="6263"/>
          </w:cols>
        </w:sectPr>
      </w:pPr>
    </w:p>
    <w:p w:rsidR="00AC71A5" w:rsidRDefault="00AC71A5" w:rsidP="00AC71A5">
      <w:pPr>
        <w:pStyle w:val="a5"/>
        <w:rPr>
          <w:sz w:val="20"/>
        </w:rPr>
      </w:pPr>
    </w:p>
    <w:p w:rsidR="00AC71A5" w:rsidRDefault="00AC71A5" w:rsidP="00AC71A5">
      <w:pPr>
        <w:pStyle w:val="a5"/>
        <w:spacing w:before="7"/>
        <w:rPr>
          <w:sz w:val="16"/>
        </w:rPr>
      </w:pPr>
    </w:p>
    <w:p w:rsidR="00AC71A5" w:rsidRDefault="00AC71A5" w:rsidP="00AC71A5">
      <w:pPr>
        <w:rPr>
          <w:sz w:val="16"/>
        </w:rPr>
        <w:sectPr w:rsidR="00AC71A5">
          <w:pgSz w:w="11910" w:h="16160"/>
          <w:pgMar w:top="1400" w:right="0" w:bottom="280" w:left="520" w:header="1067" w:footer="0" w:gutter="0"/>
          <w:cols w:space="720"/>
        </w:sectPr>
      </w:pPr>
    </w:p>
    <w:p w:rsidR="00AC71A5" w:rsidRDefault="00AC71A5" w:rsidP="00AC71A5">
      <w:pPr>
        <w:pStyle w:val="a5"/>
        <w:spacing w:before="58" w:line="374" w:lineRule="auto"/>
        <w:ind w:left="1180" w:right="1"/>
        <w:jc w:val="both"/>
      </w:pPr>
      <w:r>
        <w:rPr>
          <w:color w:val="231F20"/>
        </w:rPr>
        <w:lastRenderedPageBreak/>
        <w:t>密切跟踪偿付能力不足的保险公司风险状况。继续开展大型有问题企业风险监测，加强对宏观经济形势、区域金融风险及房地产等特定行业趋势的</w:t>
      </w:r>
      <w:proofErr w:type="gramStart"/>
      <w:r>
        <w:rPr>
          <w:color w:val="231F20"/>
        </w:rPr>
        <w:t>研</w:t>
      </w:r>
      <w:proofErr w:type="gramEnd"/>
      <w:r>
        <w:rPr>
          <w:color w:val="231F20"/>
        </w:rPr>
        <w:t>判。</w:t>
      </w:r>
    </w:p>
    <w:p w:rsidR="00AC71A5" w:rsidRDefault="00AC71A5" w:rsidP="00AC71A5">
      <w:pPr>
        <w:pStyle w:val="a5"/>
        <w:spacing w:line="374" w:lineRule="auto"/>
        <w:ind w:left="1180" w:firstLine="425"/>
        <w:jc w:val="both"/>
      </w:pPr>
      <w:r>
        <w:rPr>
          <w:color w:val="231F20"/>
        </w:rPr>
        <w:t>积极对冲疫情负面影响，实施多种逆周期调节措施。一是人民银行、银保监会于</w:t>
      </w:r>
      <w:r>
        <w:rPr>
          <w:rFonts w:ascii="Times New Roman" w:eastAsia="Times New Roman"/>
          <w:color w:val="231F20"/>
        </w:rPr>
        <w:t>2020</w:t>
      </w:r>
      <w:r>
        <w:rPr>
          <w:color w:val="231F20"/>
        </w:rPr>
        <w:t>年</w:t>
      </w:r>
      <w:r>
        <w:rPr>
          <w:rFonts w:ascii="Times New Roman" w:eastAsia="Times New Roman"/>
          <w:color w:val="231F20"/>
        </w:rPr>
        <w:t>9</w:t>
      </w:r>
      <w:r>
        <w:rPr>
          <w:color w:val="231F20"/>
        </w:rPr>
        <w:t>月联合发布《关于建立逆周期资本缓冲机制的通知》，明确建立逆周期资本缓冲机制，同时根据系统性金融风险评估状况和疫情防控需要，设置银行业金融机构初始逆周期资本缓冲比率为</w:t>
      </w:r>
      <w:r>
        <w:rPr>
          <w:rFonts w:ascii="Times New Roman" w:eastAsia="Times New Roman"/>
          <w:color w:val="231F20"/>
        </w:rPr>
        <w:t>0</w:t>
      </w:r>
      <w:r>
        <w:rPr>
          <w:color w:val="231F20"/>
        </w:rPr>
        <w:t>。该机制有助于进一步促进银行业金融机构稳健经营，提升宏观审慎政策的逆周期调节能力，缓解金融风险顺周期累积和突发性冲击导致的负面影响， 维护我国金融体系稳健运行。二是财政部、银保监会于</w:t>
      </w:r>
      <w:r>
        <w:rPr>
          <w:rFonts w:ascii="Times New Roman" w:eastAsia="Times New Roman"/>
          <w:color w:val="231F20"/>
        </w:rPr>
        <w:t>2020</w:t>
      </w:r>
      <w:r>
        <w:rPr>
          <w:color w:val="231F20"/>
        </w:rPr>
        <w:t>年</w:t>
      </w:r>
      <w:r>
        <w:rPr>
          <w:rFonts w:ascii="Times New Roman" w:eastAsia="Times New Roman"/>
          <w:color w:val="231F20"/>
        </w:rPr>
        <w:t>12</w:t>
      </w:r>
      <w:r>
        <w:rPr>
          <w:color w:val="231F20"/>
        </w:rPr>
        <w:t>月联合发布《关于进一步贯彻落实新金融工具相关会计准则的通知》，允许非上市银行在执行新金融工具准则的前五年，将首次执行日因采用预期信用损失法增</w:t>
      </w:r>
      <w:proofErr w:type="gramStart"/>
      <w:r>
        <w:rPr>
          <w:color w:val="231F20"/>
        </w:rPr>
        <w:t>提贷</w:t>
      </w:r>
      <w:proofErr w:type="gramEnd"/>
      <w:r>
        <w:rPr>
          <w:color w:val="231F20"/>
        </w:rPr>
        <w:t>款损失准备导致的核心一级资本减少</w:t>
      </w:r>
      <w:proofErr w:type="gramStart"/>
      <w:r>
        <w:rPr>
          <w:color w:val="231F20"/>
        </w:rPr>
        <w:t>额按照</w:t>
      </w:r>
      <w:proofErr w:type="gramEnd"/>
      <w:r>
        <w:rPr>
          <w:color w:val="231F20"/>
        </w:rPr>
        <w:t>一定比例加回核心一级资本。</w:t>
      </w:r>
    </w:p>
    <w:p w:rsidR="00AC71A5" w:rsidRDefault="00AC71A5" w:rsidP="00AC71A5">
      <w:pPr>
        <w:pStyle w:val="a5"/>
        <w:spacing w:before="5"/>
        <w:ind w:left="1605"/>
        <w:jc w:val="both"/>
      </w:pPr>
      <w:r>
        <w:rPr>
          <w:color w:val="231F20"/>
          <w:spacing w:val="15"/>
        </w:rPr>
        <w:t>完善金融控股公司监管。</w:t>
      </w:r>
      <w:r>
        <w:rPr>
          <w:rFonts w:ascii="Times New Roman" w:eastAsia="Times New Roman"/>
          <w:color w:val="231F20"/>
          <w:spacing w:val="15"/>
        </w:rPr>
        <w:t>2020</w:t>
      </w:r>
      <w:r>
        <w:rPr>
          <w:color w:val="231F20"/>
          <w:spacing w:val="15"/>
        </w:rPr>
        <w:t>年</w:t>
      </w:r>
      <w:r>
        <w:rPr>
          <w:rFonts w:ascii="Times New Roman" w:eastAsia="Times New Roman"/>
          <w:color w:val="231F20"/>
          <w:spacing w:val="15"/>
        </w:rPr>
        <w:t>9</w:t>
      </w:r>
      <w:r>
        <w:rPr>
          <w:color w:val="231F20"/>
          <w:spacing w:val="15"/>
        </w:rPr>
        <w:t>月，</w:t>
      </w:r>
    </w:p>
    <w:p w:rsidR="00AC71A5" w:rsidRDefault="00AC71A5" w:rsidP="00AC71A5">
      <w:pPr>
        <w:pStyle w:val="a5"/>
        <w:spacing w:before="151" w:line="374" w:lineRule="auto"/>
        <w:ind w:left="1180" w:right="1"/>
        <w:jc w:val="both"/>
      </w:pPr>
      <w:r>
        <w:rPr>
          <w:color w:val="231F20"/>
          <w:spacing w:val="9"/>
        </w:rPr>
        <w:t>《国务院关于实施金融控股公司准入管理的</w:t>
      </w:r>
      <w:r>
        <w:rPr>
          <w:color w:val="231F20"/>
          <w:spacing w:val="22"/>
        </w:rPr>
        <w:t>决定》和《金融控股公司监督管理试行办</w:t>
      </w:r>
      <w:r>
        <w:rPr>
          <w:color w:val="231F20"/>
          <w:spacing w:val="14"/>
        </w:rPr>
        <w:t>法》相继发布，</w:t>
      </w:r>
      <w:r>
        <w:rPr>
          <w:rFonts w:ascii="Times New Roman" w:eastAsia="Times New Roman"/>
          <w:color w:val="231F20"/>
          <w:spacing w:val="14"/>
        </w:rPr>
        <w:t>2021</w:t>
      </w:r>
      <w:r>
        <w:rPr>
          <w:color w:val="231F20"/>
          <w:spacing w:val="14"/>
        </w:rPr>
        <w:t>年</w:t>
      </w:r>
      <w:r>
        <w:rPr>
          <w:rFonts w:ascii="Times New Roman" w:eastAsia="Times New Roman"/>
          <w:color w:val="231F20"/>
          <w:spacing w:val="14"/>
        </w:rPr>
        <w:t>4</w:t>
      </w:r>
      <w:r>
        <w:rPr>
          <w:color w:val="231F20"/>
          <w:spacing w:val="14"/>
        </w:rPr>
        <w:t>月《金融控股公司</w:t>
      </w:r>
      <w:r>
        <w:rPr>
          <w:color w:val="231F20"/>
          <w:spacing w:val="9"/>
        </w:rPr>
        <w:t>董事、监事、高级管理人员任职备案管理暂行规定》发布，初步构建起金融控股公司监管制度框架，明确符合设立情形的企业应当依法设立金融控股公司。人民银行遵循宏观审慎管理理念对金融控股公司实施全面、持</w:t>
      </w:r>
    </w:p>
    <w:p w:rsidR="00AC71A5" w:rsidRDefault="00AC71A5" w:rsidP="00AC71A5">
      <w:pPr>
        <w:pStyle w:val="a5"/>
        <w:spacing w:before="58" w:line="374" w:lineRule="auto"/>
        <w:ind w:left="388" w:right="1394"/>
        <w:jc w:val="both"/>
      </w:pPr>
      <w:r>
        <w:br w:type="column"/>
      </w:r>
      <w:r>
        <w:rPr>
          <w:color w:val="231F20"/>
        </w:rPr>
        <w:lastRenderedPageBreak/>
        <w:t>续、穿透监管，强化股权结构、公司治理、全面风险管理和关联交易等关键环节监管， 推动其依法合</w:t>
      </w:r>
      <w:proofErr w:type="gramStart"/>
      <w:r>
        <w:rPr>
          <w:color w:val="231F20"/>
        </w:rPr>
        <w:t>规</w:t>
      </w:r>
      <w:proofErr w:type="gramEnd"/>
      <w:r>
        <w:rPr>
          <w:color w:val="231F20"/>
        </w:rPr>
        <w:t>经营，有效防范风险跨机构、跨行业、跨市场传染，提升金融服务实体经济的质效。</w:t>
      </w:r>
    </w:p>
    <w:p w:rsidR="00AC71A5" w:rsidRDefault="00AC71A5" w:rsidP="00AC71A5">
      <w:pPr>
        <w:pStyle w:val="a5"/>
        <w:spacing w:before="1" w:line="374" w:lineRule="auto"/>
        <w:ind w:left="388" w:right="1392" w:firstLine="425"/>
        <w:jc w:val="both"/>
      </w:pPr>
      <w:r>
        <w:rPr>
          <w:color w:val="231F20"/>
        </w:rPr>
        <w:t>完善系统重要性金融机构监管。</w:t>
      </w:r>
      <w:r>
        <w:rPr>
          <w:rFonts w:ascii="Times New Roman" w:eastAsia="Times New Roman"/>
          <w:color w:val="231F20"/>
        </w:rPr>
        <w:t xml:space="preserve">2020 </w:t>
      </w:r>
      <w:r>
        <w:rPr>
          <w:color w:val="231F20"/>
        </w:rPr>
        <w:t>年</w:t>
      </w:r>
      <w:r>
        <w:rPr>
          <w:rFonts w:ascii="Times New Roman" w:eastAsia="Times New Roman"/>
          <w:color w:val="231F20"/>
        </w:rPr>
        <w:t>12</w:t>
      </w:r>
      <w:r>
        <w:rPr>
          <w:color w:val="231F20"/>
        </w:rPr>
        <w:t>月，人民银行、银保监会联合发布《系统重要性银行评估办法》，对我国系统重要性银行的评估方法、评估指标、评估流程和工作机制等</w:t>
      </w:r>
      <w:proofErr w:type="gramStart"/>
      <w:r>
        <w:rPr>
          <w:color w:val="231F20"/>
        </w:rPr>
        <w:t>作出</w:t>
      </w:r>
      <w:proofErr w:type="gramEnd"/>
      <w:r>
        <w:rPr>
          <w:color w:val="231F20"/>
        </w:rPr>
        <w:t>了规定，确立了我国系统重要性银行评估规则体系。</w:t>
      </w:r>
      <w:r>
        <w:rPr>
          <w:rFonts w:ascii="Times New Roman" w:eastAsia="Times New Roman"/>
          <w:color w:val="231F20"/>
        </w:rPr>
        <w:t>2021</w:t>
      </w:r>
      <w:r>
        <w:rPr>
          <w:color w:val="231F20"/>
        </w:rPr>
        <w:t>年</w:t>
      </w:r>
      <w:r>
        <w:rPr>
          <w:rFonts w:ascii="Times New Roman" w:eastAsia="Times New Roman"/>
          <w:color w:val="231F20"/>
        </w:rPr>
        <w:t>4</w:t>
      </w:r>
      <w:r>
        <w:rPr>
          <w:color w:val="231F20"/>
        </w:rPr>
        <w:t>月，人民银行、银保监会联合发布《系统重要性银行附加监管规定（试行）（征求意见稿）》， 从附加资本、杠杆率、流动性、大额风险暴露、公司治理、恢复处置计划、数据报送等方面，提出附加监管要求。下一步，人民银行将会同银保监会，开展我国系统重要性银行评估并提出名单，出台《系统重要性银行附加监管规定（试行）》并组织实施。同时，抓紧制定我国系统重要性保险机构评估规则和监管要求。</w:t>
      </w:r>
    </w:p>
    <w:p w:rsidR="00AC71A5" w:rsidRDefault="00AC71A5" w:rsidP="00AC71A5">
      <w:pPr>
        <w:pStyle w:val="a5"/>
        <w:spacing w:before="2" w:line="374" w:lineRule="auto"/>
        <w:ind w:left="388" w:right="1404" w:firstLine="425"/>
        <w:jc w:val="both"/>
      </w:pPr>
      <w:r>
        <w:rPr>
          <w:color w:val="231F20"/>
        </w:rPr>
        <w:t>继续</w:t>
      </w:r>
      <w:proofErr w:type="gramStart"/>
      <w:r>
        <w:rPr>
          <w:color w:val="231F20"/>
        </w:rPr>
        <w:t>完善资管</w:t>
      </w:r>
      <w:proofErr w:type="gramEnd"/>
      <w:r>
        <w:rPr>
          <w:color w:val="231F20"/>
        </w:rPr>
        <w:t>业务标准规制，推动金融机构平稳落实</w:t>
      </w:r>
      <w:proofErr w:type="gramStart"/>
      <w:r>
        <w:rPr>
          <w:color w:val="231F20"/>
        </w:rPr>
        <w:t>资管新规</w:t>
      </w:r>
      <w:proofErr w:type="gramEnd"/>
      <w:r>
        <w:rPr>
          <w:color w:val="231F20"/>
        </w:rPr>
        <w:t>。一是合理调整</w:t>
      </w:r>
      <w:proofErr w:type="gramStart"/>
      <w:r>
        <w:rPr>
          <w:color w:val="231F20"/>
        </w:rPr>
        <w:t>资管新规</w:t>
      </w:r>
      <w:proofErr w:type="gramEnd"/>
      <w:r>
        <w:rPr>
          <w:color w:val="231F20"/>
        </w:rPr>
        <w:t>过渡期，强化激励约束机制，敦促金融机构合理调整整改计划并有序落实，推动过渡期资产处置。人民银行牵头</w:t>
      </w:r>
      <w:proofErr w:type="gramStart"/>
      <w:r>
        <w:rPr>
          <w:color w:val="231F20"/>
        </w:rPr>
        <w:t>建立资管业务</w:t>
      </w:r>
      <w:proofErr w:type="gramEnd"/>
      <w:r>
        <w:rPr>
          <w:color w:val="231F20"/>
        </w:rPr>
        <w:t>整改联络协调机制，加强政策协调统筹和监测分析，</w:t>
      </w:r>
      <w:proofErr w:type="gramStart"/>
      <w:r>
        <w:rPr>
          <w:color w:val="231F20"/>
        </w:rPr>
        <w:t>推进资管业务</w:t>
      </w:r>
      <w:proofErr w:type="gramEnd"/>
      <w:r>
        <w:rPr>
          <w:color w:val="231F20"/>
        </w:rPr>
        <w:t>整改政策落实。二是银保监会发布《保险资产管理产品管理暂行办法》配套细则，细化对</w:t>
      </w:r>
      <w:proofErr w:type="gramStart"/>
      <w:r>
        <w:rPr>
          <w:color w:val="231F20"/>
        </w:rPr>
        <w:t>保险资管产品</w:t>
      </w:r>
      <w:proofErr w:type="gramEnd"/>
      <w:r>
        <w:rPr>
          <w:color w:val="231F20"/>
        </w:rPr>
        <w:t>的监</w:t>
      </w:r>
    </w:p>
    <w:p w:rsidR="00AC71A5" w:rsidRDefault="00AC71A5" w:rsidP="00AC71A5">
      <w:pPr>
        <w:spacing w:line="374" w:lineRule="auto"/>
        <w:jc w:val="both"/>
        <w:sectPr w:rsidR="00AC71A5">
          <w:type w:val="continuous"/>
          <w:pgSz w:w="11910" w:h="16160"/>
          <w:pgMar w:top="1520" w:right="0" w:bottom="280" w:left="520" w:header="720" w:footer="720" w:gutter="0"/>
          <w:cols w:num="2" w:space="720" w:equalWidth="0">
            <w:col w:w="5373" w:space="40"/>
            <w:col w:w="5977"/>
          </w:cols>
        </w:sectPr>
      </w:pPr>
    </w:p>
    <w:p w:rsidR="00AC71A5" w:rsidRDefault="00AC71A5" w:rsidP="00AC71A5">
      <w:pPr>
        <w:pStyle w:val="a5"/>
        <w:rPr>
          <w:sz w:val="20"/>
        </w:rPr>
      </w:pPr>
    </w:p>
    <w:p w:rsidR="00AC71A5" w:rsidRDefault="00AC71A5" w:rsidP="00AC71A5">
      <w:pPr>
        <w:pStyle w:val="a5"/>
        <w:spacing w:before="7"/>
        <w:rPr>
          <w:sz w:val="16"/>
        </w:rPr>
      </w:pPr>
    </w:p>
    <w:p w:rsidR="00AC71A5" w:rsidRDefault="00AC71A5" w:rsidP="00AC71A5">
      <w:pPr>
        <w:rPr>
          <w:sz w:val="16"/>
        </w:rPr>
        <w:sectPr w:rsidR="00AC71A5">
          <w:pgSz w:w="11910" w:h="16160"/>
          <w:pgMar w:top="1400" w:right="0" w:bottom="280" w:left="520" w:header="1067" w:footer="0" w:gutter="0"/>
          <w:cols w:space="720"/>
        </w:sectPr>
      </w:pPr>
    </w:p>
    <w:p w:rsidR="00AC71A5" w:rsidRDefault="00AC71A5" w:rsidP="00AC71A5">
      <w:pPr>
        <w:pStyle w:val="a5"/>
        <w:spacing w:before="58" w:line="374" w:lineRule="auto"/>
        <w:ind w:left="897"/>
        <w:jc w:val="both"/>
      </w:pPr>
      <w:r>
        <w:rPr>
          <w:color w:val="231F20"/>
        </w:rPr>
        <w:lastRenderedPageBreak/>
        <w:t>管要求，进一步统一</w:t>
      </w:r>
      <w:proofErr w:type="gramStart"/>
      <w:r>
        <w:rPr>
          <w:color w:val="231F20"/>
        </w:rPr>
        <w:t>同类资管产品</w:t>
      </w:r>
      <w:proofErr w:type="gramEnd"/>
      <w:r>
        <w:rPr>
          <w:color w:val="231F20"/>
        </w:rPr>
        <w:t>的监管规则。发布《保险资产管理公司监管评级暂行办法》，实施</w:t>
      </w:r>
      <w:proofErr w:type="gramStart"/>
      <w:r>
        <w:rPr>
          <w:color w:val="231F20"/>
        </w:rPr>
        <w:t>保险资管公司</w:t>
      </w:r>
      <w:proofErr w:type="gramEnd"/>
      <w:r>
        <w:rPr>
          <w:color w:val="231F20"/>
        </w:rPr>
        <w:t>监管评级制度， 推动</w:t>
      </w:r>
      <w:proofErr w:type="gramStart"/>
      <w:r>
        <w:rPr>
          <w:color w:val="231F20"/>
        </w:rPr>
        <w:t>保险资管机构</w:t>
      </w:r>
      <w:proofErr w:type="gramEnd"/>
      <w:r>
        <w:rPr>
          <w:color w:val="231F20"/>
        </w:rPr>
        <w:t>稳健经营和高质量发展。三是持续加强非现场监管，按月</w:t>
      </w:r>
      <w:proofErr w:type="gramStart"/>
      <w:r>
        <w:rPr>
          <w:color w:val="231F20"/>
        </w:rPr>
        <w:t>监测资管业务</w:t>
      </w:r>
      <w:proofErr w:type="gramEnd"/>
      <w:r>
        <w:rPr>
          <w:color w:val="231F20"/>
        </w:rPr>
        <w:t>运行情况。针对部分银行保本理财有所反弹、现金管理类产品规模快速增长等问题， 及时进行风险提示，确保</w:t>
      </w:r>
      <w:proofErr w:type="gramStart"/>
      <w:r>
        <w:rPr>
          <w:color w:val="231F20"/>
        </w:rPr>
        <w:t>资管新规</w:t>
      </w:r>
      <w:proofErr w:type="gramEnd"/>
      <w:r>
        <w:rPr>
          <w:color w:val="231F20"/>
        </w:rPr>
        <w:t>及各项配套制度有效落实。目前，</w:t>
      </w:r>
      <w:proofErr w:type="gramStart"/>
      <w:r>
        <w:rPr>
          <w:color w:val="231F20"/>
        </w:rPr>
        <w:t>资管业务</w:t>
      </w:r>
      <w:proofErr w:type="gramEnd"/>
      <w:r>
        <w:rPr>
          <w:color w:val="231F20"/>
        </w:rPr>
        <w:t>发展呈现出结构优化、更可持续的态势，净值型产品保持增长，资金空转情况持续收敛，</w:t>
      </w:r>
      <w:proofErr w:type="gramStart"/>
      <w:r>
        <w:rPr>
          <w:color w:val="231F20"/>
        </w:rPr>
        <w:t>资管产品</w:t>
      </w:r>
      <w:proofErr w:type="gramEnd"/>
      <w:r>
        <w:rPr>
          <w:color w:val="231F20"/>
        </w:rPr>
        <w:t>持有的非标资产比重降至新低，对股票、债券等标准化资产的配置增加，对实体经济的支持力度进一步加大。</w:t>
      </w:r>
    </w:p>
    <w:p w:rsidR="00AC71A5" w:rsidRDefault="00AC71A5" w:rsidP="00AC71A5">
      <w:pPr>
        <w:pStyle w:val="a5"/>
        <w:spacing w:line="374" w:lineRule="auto"/>
        <w:ind w:left="897" w:firstLine="425"/>
        <w:jc w:val="both"/>
      </w:pPr>
      <w:r>
        <w:rPr>
          <w:color w:val="231F20"/>
          <w:position w:val="1"/>
        </w:rPr>
        <w:t>发挥好宏观审慎评估（</w:t>
      </w:r>
      <w:r>
        <w:rPr>
          <w:rFonts w:ascii="Times New Roman" w:eastAsia="Times New Roman"/>
          <w:b/>
          <w:color w:val="231F20"/>
        </w:rPr>
        <w:t>MPA</w:t>
      </w:r>
      <w:r>
        <w:rPr>
          <w:color w:val="231F20"/>
          <w:position w:val="1"/>
        </w:rPr>
        <w:t>）在优化信</w:t>
      </w:r>
      <w:r>
        <w:rPr>
          <w:color w:val="231F20"/>
        </w:rPr>
        <w:t>贷结构和促进金融供给侧结构性改革中的作用。</w:t>
      </w:r>
      <w:r>
        <w:rPr>
          <w:rFonts w:ascii="Times New Roman" w:eastAsia="Times New Roman"/>
          <w:color w:val="231F20"/>
        </w:rPr>
        <w:t>2020</w:t>
      </w:r>
      <w:r>
        <w:rPr>
          <w:color w:val="231F20"/>
        </w:rPr>
        <w:t>年以来，人民银行按照中央经济工作会议重点任务要求，进一步完善</w:t>
      </w:r>
      <w:r>
        <w:rPr>
          <w:rFonts w:ascii="Times New Roman" w:eastAsia="Times New Roman"/>
          <w:color w:val="231F20"/>
        </w:rPr>
        <w:t>MPA</w:t>
      </w:r>
      <w:r>
        <w:rPr>
          <w:color w:val="231F20"/>
        </w:rPr>
        <w:t>，提高了小微、民营企业融资和制造业融资的考核权重，设立再贷款临时性考核指标，完善贷款市场报价利率（</w:t>
      </w:r>
      <w:r>
        <w:rPr>
          <w:rFonts w:ascii="Times New Roman" w:eastAsia="Times New Roman"/>
          <w:color w:val="231F20"/>
        </w:rPr>
        <w:t>LPR</w:t>
      </w:r>
      <w:r>
        <w:rPr>
          <w:color w:val="231F20"/>
        </w:rPr>
        <w:t>）运用相关考核， 引导金融机构加大对国民经济重点领域和薄弱环节的支持，推动企业综合融资成本明显下降。</w:t>
      </w:r>
    </w:p>
    <w:p w:rsidR="00AC71A5" w:rsidRDefault="00AC71A5" w:rsidP="00AC71A5">
      <w:pPr>
        <w:pStyle w:val="a5"/>
        <w:spacing w:before="6" w:line="374" w:lineRule="auto"/>
        <w:ind w:left="897" w:firstLine="425"/>
        <w:jc w:val="both"/>
      </w:pPr>
      <w:r>
        <w:rPr>
          <w:color w:val="231F20"/>
        </w:rPr>
        <w:t>加强跨境资本流动宏观审慎管理。一是</w:t>
      </w:r>
      <w:r>
        <w:rPr>
          <w:rFonts w:ascii="Times New Roman" w:eastAsia="Times New Roman" w:hAnsi="Times New Roman"/>
          <w:color w:val="231F20"/>
        </w:rPr>
        <w:t>2020</w:t>
      </w:r>
      <w:r>
        <w:rPr>
          <w:color w:val="231F20"/>
        </w:rPr>
        <w:t>年</w:t>
      </w:r>
      <w:r>
        <w:rPr>
          <w:rFonts w:ascii="Times New Roman" w:eastAsia="Times New Roman" w:hAnsi="Times New Roman"/>
          <w:color w:val="231F20"/>
        </w:rPr>
        <w:t>10</w:t>
      </w:r>
      <w:r>
        <w:rPr>
          <w:color w:val="231F20"/>
        </w:rPr>
        <w:t>月，鉴于外汇市场运行保持稳定， 跨境资本流动有序，人民银行将远期售汇业务外汇风险准备金率从</w:t>
      </w:r>
      <w:r>
        <w:rPr>
          <w:rFonts w:ascii="Times New Roman" w:eastAsia="Times New Roman" w:hAnsi="Times New Roman"/>
          <w:color w:val="231F20"/>
        </w:rPr>
        <w:t>20%</w:t>
      </w:r>
      <w:r>
        <w:rPr>
          <w:color w:val="231F20"/>
        </w:rPr>
        <w:t>下调为</w:t>
      </w:r>
      <w:r>
        <w:rPr>
          <w:rFonts w:ascii="Times New Roman" w:eastAsia="Times New Roman" w:hAnsi="Times New Roman"/>
          <w:color w:val="231F20"/>
        </w:rPr>
        <w:t>0</w:t>
      </w:r>
      <w:r>
        <w:rPr>
          <w:color w:val="231F20"/>
        </w:rPr>
        <w:t>。二是人民币对美元中间价报价行陆续主动将报价模型中的“逆周期因子”淡出使用，中间价</w:t>
      </w:r>
    </w:p>
    <w:p w:rsidR="00AC71A5" w:rsidRDefault="00AC71A5" w:rsidP="00AC71A5">
      <w:pPr>
        <w:pStyle w:val="a5"/>
        <w:spacing w:before="58" w:line="374" w:lineRule="auto"/>
        <w:ind w:left="402" w:right="1685"/>
        <w:jc w:val="both"/>
      </w:pPr>
      <w:r>
        <w:br w:type="column"/>
      </w:r>
      <w:r>
        <w:rPr>
          <w:color w:val="231F20"/>
        </w:rPr>
        <w:lastRenderedPageBreak/>
        <w:t>报价的透明度、基准性和有效性不断提高。三是适时调整跨境融资宏观审慎调节参数。</w:t>
      </w:r>
      <w:r>
        <w:rPr>
          <w:rFonts w:ascii="Times New Roman" w:eastAsia="Times New Roman"/>
          <w:color w:val="231F20"/>
        </w:rPr>
        <w:t>2020</w:t>
      </w:r>
      <w:r>
        <w:rPr>
          <w:color w:val="231F20"/>
        </w:rPr>
        <w:t>年</w:t>
      </w:r>
      <w:r>
        <w:rPr>
          <w:rFonts w:ascii="Times New Roman" w:eastAsia="Times New Roman"/>
          <w:color w:val="231F20"/>
        </w:rPr>
        <w:t>3</w:t>
      </w:r>
      <w:r>
        <w:rPr>
          <w:color w:val="231F20"/>
        </w:rPr>
        <w:t>月，将全口径跨境融资宏观审慎调节参数由</w:t>
      </w:r>
      <w:r>
        <w:rPr>
          <w:rFonts w:ascii="Times New Roman" w:eastAsia="Times New Roman"/>
          <w:color w:val="231F20"/>
        </w:rPr>
        <w:t>1</w:t>
      </w:r>
      <w:r>
        <w:rPr>
          <w:color w:val="231F20"/>
        </w:rPr>
        <w:t>上调至</w:t>
      </w:r>
      <w:r>
        <w:rPr>
          <w:rFonts w:ascii="Times New Roman" w:eastAsia="Times New Roman"/>
          <w:color w:val="231F20"/>
        </w:rPr>
        <w:t>1.25</w:t>
      </w:r>
      <w:r>
        <w:rPr>
          <w:color w:val="231F20"/>
        </w:rPr>
        <w:t>，便利境内机构特别是中小企业、民营企业充分利用国际国内两个市场，多渠道筹集资金、缓解融资难融资贵的问题，推动复工复产。</w:t>
      </w:r>
      <w:r>
        <w:rPr>
          <w:rFonts w:ascii="Times New Roman" w:eastAsia="Times New Roman"/>
          <w:color w:val="231F20"/>
        </w:rPr>
        <w:t>2020</w:t>
      </w:r>
      <w:r>
        <w:rPr>
          <w:color w:val="231F20"/>
        </w:rPr>
        <w:t>年</w:t>
      </w:r>
      <w:r>
        <w:rPr>
          <w:rFonts w:ascii="Times New Roman" w:eastAsia="Times New Roman"/>
          <w:color w:val="231F20"/>
        </w:rPr>
        <w:t>12</w:t>
      </w:r>
      <w:r>
        <w:rPr>
          <w:color w:val="231F20"/>
        </w:rPr>
        <w:t>月，为</w:t>
      </w:r>
      <w:proofErr w:type="gramStart"/>
      <w:r>
        <w:rPr>
          <w:color w:val="231F20"/>
        </w:rPr>
        <w:t>完善全</w:t>
      </w:r>
      <w:proofErr w:type="gramEnd"/>
      <w:r>
        <w:rPr>
          <w:color w:val="231F20"/>
        </w:rPr>
        <w:t>口径跨境融资宏观审慎管理，引导金融机构市场化调节外汇资产负债结构，将金融机构跨境融资宏观审慎调节参数由</w:t>
      </w:r>
      <w:r>
        <w:rPr>
          <w:rFonts w:ascii="Times New Roman" w:eastAsia="Times New Roman"/>
          <w:color w:val="231F20"/>
        </w:rPr>
        <w:t>1.25</w:t>
      </w:r>
      <w:r>
        <w:rPr>
          <w:color w:val="231F20"/>
        </w:rPr>
        <w:t>下调至</w:t>
      </w:r>
      <w:r>
        <w:rPr>
          <w:rFonts w:ascii="Times New Roman" w:eastAsia="Times New Roman"/>
          <w:color w:val="231F20"/>
        </w:rPr>
        <w:t>1</w:t>
      </w:r>
      <w:r>
        <w:rPr>
          <w:color w:val="231F20"/>
        </w:rPr>
        <w:t>。</w:t>
      </w:r>
      <w:r>
        <w:rPr>
          <w:rFonts w:ascii="Times New Roman" w:eastAsia="Times New Roman"/>
          <w:color w:val="231F20"/>
        </w:rPr>
        <w:t>2021</w:t>
      </w:r>
      <w:r>
        <w:rPr>
          <w:color w:val="231F20"/>
        </w:rPr>
        <w:t>年</w:t>
      </w:r>
      <w:r>
        <w:rPr>
          <w:rFonts w:ascii="Times New Roman" w:eastAsia="Times New Roman"/>
          <w:color w:val="231F20"/>
        </w:rPr>
        <w:t>1</w:t>
      </w:r>
      <w:r>
        <w:rPr>
          <w:color w:val="231F20"/>
        </w:rPr>
        <w:t>月，将企业跨境融资宏观审慎调节参数由</w:t>
      </w:r>
      <w:r>
        <w:rPr>
          <w:rFonts w:ascii="Times New Roman" w:eastAsia="Times New Roman"/>
          <w:color w:val="231F20"/>
        </w:rPr>
        <w:t>1.25</w:t>
      </w:r>
      <w:r>
        <w:rPr>
          <w:color w:val="231F20"/>
        </w:rPr>
        <w:t>下调至</w:t>
      </w:r>
      <w:r>
        <w:rPr>
          <w:rFonts w:ascii="Times New Roman" w:eastAsia="Times New Roman"/>
          <w:color w:val="231F20"/>
        </w:rPr>
        <w:t>1</w:t>
      </w:r>
      <w:r>
        <w:rPr>
          <w:color w:val="231F20"/>
        </w:rPr>
        <w:t>。此外，调整境内企业境外放款宏观审慎调节系数。</w:t>
      </w:r>
      <w:r>
        <w:rPr>
          <w:rFonts w:ascii="Times New Roman" w:eastAsia="Times New Roman"/>
          <w:color w:val="231F20"/>
        </w:rPr>
        <w:t>2021</w:t>
      </w:r>
      <w:r>
        <w:rPr>
          <w:color w:val="231F20"/>
        </w:rPr>
        <w:t>年</w:t>
      </w:r>
      <w:r>
        <w:rPr>
          <w:rFonts w:ascii="Times New Roman" w:eastAsia="Times New Roman"/>
          <w:color w:val="231F20"/>
        </w:rPr>
        <w:t>1</w:t>
      </w:r>
      <w:r>
        <w:rPr>
          <w:color w:val="231F20"/>
        </w:rPr>
        <w:t>月，根据企业实际业务需求，将境内企业境外放款宏观审慎调节系数由</w:t>
      </w:r>
      <w:r>
        <w:rPr>
          <w:rFonts w:ascii="Times New Roman" w:eastAsia="Times New Roman"/>
          <w:color w:val="231F20"/>
        </w:rPr>
        <w:t>0.3</w:t>
      </w:r>
      <w:r>
        <w:rPr>
          <w:color w:val="231F20"/>
        </w:rPr>
        <w:t>上调至</w:t>
      </w:r>
      <w:r>
        <w:rPr>
          <w:rFonts w:ascii="Times New Roman" w:eastAsia="Times New Roman"/>
          <w:color w:val="231F20"/>
        </w:rPr>
        <w:t>0.5</w:t>
      </w:r>
      <w:r>
        <w:rPr>
          <w:color w:val="231F20"/>
        </w:rPr>
        <w:t>，便利市场主体向外调拨资金。</w:t>
      </w:r>
    </w:p>
    <w:p w:rsidR="00AC71A5" w:rsidRDefault="00AC71A5" w:rsidP="00AC71A5">
      <w:pPr>
        <w:pStyle w:val="a5"/>
        <w:spacing w:before="2" w:line="374" w:lineRule="auto"/>
        <w:ind w:left="402" w:right="1688" w:firstLine="425"/>
        <w:jc w:val="both"/>
      </w:pPr>
      <w:r>
        <w:rPr>
          <w:color w:val="231F20"/>
        </w:rPr>
        <w:t>建立银行业金融机构房地产贷款集中</w:t>
      </w:r>
      <w:proofErr w:type="gramStart"/>
      <w:r>
        <w:rPr>
          <w:color w:val="231F20"/>
        </w:rPr>
        <w:t>度管理</w:t>
      </w:r>
      <w:proofErr w:type="gramEnd"/>
      <w:r>
        <w:rPr>
          <w:color w:val="231F20"/>
        </w:rPr>
        <w:t>制度。</w:t>
      </w:r>
      <w:r>
        <w:rPr>
          <w:rFonts w:ascii="Times New Roman" w:eastAsia="Times New Roman"/>
          <w:color w:val="231F20"/>
        </w:rPr>
        <w:t>2020</w:t>
      </w:r>
      <w:r>
        <w:rPr>
          <w:color w:val="231F20"/>
        </w:rPr>
        <w:t>年</w:t>
      </w:r>
      <w:r>
        <w:rPr>
          <w:rFonts w:ascii="Times New Roman" w:eastAsia="Times New Roman"/>
          <w:color w:val="231F20"/>
        </w:rPr>
        <w:t>12</w:t>
      </w:r>
      <w:r>
        <w:rPr>
          <w:color w:val="231F20"/>
        </w:rPr>
        <w:t>月，人民银行、银保监会联合发布《关于建立银行业金融机构房地产贷款集中度管理制度的通知》，对银行业金融机构房地产贷款、个人住房贷款占全部贷款的比重设置上限要求。该制度有助于提高金融体系的韧性和稳健性，促进房地产市场平稳健康发展，也有助于强化银行业金融机构内在约束，优化信贷结构，提高服务实体经济的能力。</w:t>
      </w:r>
    </w:p>
    <w:p w:rsidR="00AC71A5" w:rsidRDefault="00AC71A5" w:rsidP="00AC71A5">
      <w:pPr>
        <w:pStyle w:val="a5"/>
        <w:spacing w:before="5" w:line="374" w:lineRule="auto"/>
        <w:ind w:left="402" w:right="1673" w:firstLine="425"/>
        <w:jc w:val="both"/>
      </w:pPr>
      <w:r>
        <w:rPr>
          <w:color w:val="231F20"/>
        </w:rPr>
        <w:t>继续推进金融业综合统计工作。一是国家金融基础数据库投产使用，基本建成以分布式架构、大数据和云计算技术为基础， 符合大数据发展方向的先进、完备的关键基</w:t>
      </w:r>
    </w:p>
    <w:p w:rsidR="00AC71A5" w:rsidRDefault="00AC71A5" w:rsidP="00AC71A5">
      <w:pPr>
        <w:spacing w:line="374" w:lineRule="auto"/>
        <w:jc w:val="both"/>
        <w:sectPr w:rsidR="00AC71A5">
          <w:type w:val="continuous"/>
          <w:pgSz w:w="11910" w:h="16160"/>
          <w:pgMar w:top="1520" w:right="0" w:bottom="280" w:left="520" w:header="720" w:footer="720" w:gutter="0"/>
          <w:cols w:num="2" w:space="720" w:equalWidth="0">
            <w:col w:w="5076" w:space="40"/>
            <w:col w:w="6274"/>
          </w:cols>
        </w:sectPr>
      </w:pPr>
    </w:p>
    <w:p w:rsidR="00AC71A5" w:rsidRDefault="00AC71A5" w:rsidP="00AC71A5">
      <w:pPr>
        <w:pStyle w:val="a5"/>
        <w:rPr>
          <w:sz w:val="20"/>
        </w:rPr>
      </w:pPr>
    </w:p>
    <w:p w:rsidR="00AC71A5" w:rsidRDefault="00AC71A5" w:rsidP="00AC71A5">
      <w:pPr>
        <w:pStyle w:val="a5"/>
        <w:spacing w:before="7"/>
        <w:rPr>
          <w:sz w:val="16"/>
        </w:rPr>
      </w:pPr>
    </w:p>
    <w:p w:rsidR="00AC71A5" w:rsidRDefault="00AC71A5" w:rsidP="00AC71A5">
      <w:pPr>
        <w:rPr>
          <w:sz w:val="16"/>
        </w:rPr>
        <w:sectPr w:rsidR="00AC71A5">
          <w:pgSz w:w="11910" w:h="16160"/>
          <w:pgMar w:top="1400" w:right="0" w:bottom="280" w:left="520" w:header="1067" w:footer="0" w:gutter="0"/>
          <w:cols w:space="720"/>
        </w:sectPr>
      </w:pPr>
    </w:p>
    <w:p w:rsidR="00AC71A5" w:rsidRDefault="00AC71A5" w:rsidP="00AC71A5">
      <w:pPr>
        <w:pStyle w:val="a5"/>
        <w:spacing w:before="58" w:line="374" w:lineRule="auto"/>
        <w:ind w:left="1180"/>
        <w:jc w:val="both"/>
      </w:pPr>
      <w:proofErr w:type="gramStart"/>
      <w:r>
        <w:rPr>
          <w:color w:val="231F20"/>
        </w:rPr>
        <w:lastRenderedPageBreak/>
        <w:t>础</w:t>
      </w:r>
      <w:proofErr w:type="gramEnd"/>
      <w:r>
        <w:rPr>
          <w:color w:val="231F20"/>
        </w:rPr>
        <w:t>设施。二是金融基础数据统计制度落地实施。</w:t>
      </w:r>
      <w:r>
        <w:rPr>
          <w:rFonts w:ascii="Times New Roman" w:eastAsia="Times New Roman"/>
          <w:color w:val="231F20"/>
        </w:rPr>
        <w:t>2020</w:t>
      </w:r>
      <w:r>
        <w:rPr>
          <w:color w:val="231F20"/>
        </w:rPr>
        <w:t>年</w:t>
      </w:r>
      <w:r>
        <w:rPr>
          <w:rFonts w:ascii="Times New Roman" w:eastAsia="Times New Roman"/>
          <w:color w:val="231F20"/>
        </w:rPr>
        <w:t>7</w:t>
      </w:r>
      <w:r>
        <w:rPr>
          <w:color w:val="231F20"/>
        </w:rPr>
        <w:t>月，发布《中国人民银行关于建立金融基础数据统计制度的通知》，统计制度涵盖存款、贷款、同业、债券、股权、</w:t>
      </w:r>
      <w:r>
        <w:rPr>
          <w:rFonts w:ascii="Times New Roman" w:eastAsia="Times New Roman"/>
          <w:color w:val="231F20"/>
        </w:rPr>
        <w:t>SPV</w:t>
      </w:r>
      <w:r>
        <w:rPr>
          <w:color w:val="231F20"/>
        </w:rPr>
        <w:t>等。三是进一步深化各项金融业综合统计业务。制定地方金融组织统计制度，扎实推进金融</w:t>
      </w:r>
      <w:proofErr w:type="gramStart"/>
      <w:r>
        <w:rPr>
          <w:color w:val="231F20"/>
        </w:rPr>
        <w:t>机构资管产品</w:t>
      </w:r>
      <w:proofErr w:type="gramEnd"/>
      <w:r>
        <w:rPr>
          <w:color w:val="231F20"/>
        </w:rPr>
        <w:t>、系统重要性银行、金融控股公司、普惠金融和绿色贷款等多项统</w:t>
      </w:r>
    </w:p>
    <w:p w:rsidR="00AC71A5" w:rsidRDefault="00AC71A5" w:rsidP="00AC71A5">
      <w:pPr>
        <w:pStyle w:val="a5"/>
        <w:spacing w:before="58" w:line="374" w:lineRule="auto"/>
        <w:ind w:left="399" w:right="1404"/>
        <w:jc w:val="both"/>
      </w:pPr>
      <w:r>
        <w:br w:type="column"/>
      </w:r>
      <w:r>
        <w:rPr>
          <w:color w:val="231F20"/>
        </w:rPr>
        <w:lastRenderedPageBreak/>
        <w:t>计工作，加强监测分析。四是数据分析助力宏观调控和风险防控。逐步实现所有金融机构、金融基础设施和金融活动的全覆盖，对宏观杠杆率、影子银行、社会融资成本和贷款到期等情况进行监测分析。利用逐笔金融基础数据，展示贷款、债券等金融工具在不同企业的分布，准确反映金融资源分布。</w:t>
      </w:r>
    </w:p>
    <w:p w:rsidR="00AC71A5" w:rsidRDefault="00AC71A5" w:rsidP="00AC71A5"/>
    <w:p w:rsidR="00AC71A5" w:rsidRDefault="00AC71A5" w:rsidP="00AC71A5"/>
    <w:p w:rsidR="001D703D" w:rsidRDefault="001D703D">
      <w:bookmarkStart w:id="0" w:name="_GoBack"/>
      <w:bookmarkEnd w:id="0"/>
    </w:p>
    <w:sectPr w:rsidR="001D70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075" w:rsidRDefault="00A50075" w:rsidP="00AC71A5">
      <w:r>
        <w:separator/>
      </w:r>
    </w:p>
  </w:endnote>
  <w:endnote w:type="continuationSeparator" w:id="0">
    <w:p w:rsidR="00A50075" w:rsidRDefault="00A50075" w:rsidP="00AC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075" w:rsidRDefault="00A50075" w:rsidP="00AC71A5">
      <w:r>
        <w:separator/>
      </w:r>
    </w:p>
  </w:footnote>
  <w:footnote w:type="continuationSeparator" w:id="0">
    <w:p w:rsidR="00A50075" w:rsidRDefault="00A50075" w:rsidP="00AC7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1A5" w:rsidRDefault="00AC71A5">
    <w:pPr>
      <w:pStyle w:val="a5"/>
      <w:spacing w:line="14" w:lineRule="auto"/>
      <w:rPr>
        <w:sz w:val="2"/>
      </w:rPr>
    </w:pPr>
    <w:r>
      <w:rPr>
        <w:noProof/>
        <w:lang w:val="en-US" w:bidi="ar-SA"/>
      </w:rPr>
      <mc:AlternateContent>
        <mc:Choice Requires="wps">
          <w:drawing>
            <wp:anchor distT="0" distB="0" distL="114300" distR="114300" simplePos="0" relativeHeight="251659264" behindDoc="1" locked="0" layoutInCell="1" allowOverlap="1" wp14:anchorId="00C1E8B6" wp14:editId="2A094125">
              <wp:simplePos x="0" y="0"/>
              <wp:positionH relativeFrom="page">
                <wp:posOffset>0</wp:posOffset>
              </wp:positionH>
              <wp:positionV relativeFrom="page">
                <wp:posOffset>0</wp:posOffset>
              </wp:positionV>
              <wp:extent cx="7560310" cy="10259695"/>
              <wp:effectExtent l="0" t="0" r="2540" b="0"/>
              <wp:wrapNone/>
              <wp:docPr id="2045" name="矩形 2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259695"/>
                      </a:xfrm>
                      <a:prstGeom prst="rect">
                        <a:avLst/>
                      </a:prstGeom>
                      <a:solidFill>
                        <a:srgbClr val="E1E8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045" o:spid="_x0000_s1026" style="position:absolute;left:0;text-align:left;margin-left:0;margin-top:0;width:595.3pt;height:807.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" fillcolor="#e1e8f5" stroked="f">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1A5" w:rsidRDefault="00AC71A5">
    <w:pPr>
      <w:pStyle w:val="a5"/>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1A5" w:rsidRDefault="00AC71A5">
    <w:pPr>
      <w:pStyle w:val="a5"/>
      <w:spacing w:line="14" w:lineRule="auto"/>
      <w:rPr>
        <w:sz w:val="20"/>
      </w:rPr>
    </w:pPr>
    <w:r>
      <w:rPr>
        <w:noProof/>
        <w:lang w:val="en-US" w:bidi="ar-SA"/>
      </w:rPr>
      <mc:AlternateContent>
        <mc:Choice Requires="wpg">
          <w:drawing>
            <wp:anchor distT="0" distB="0" distL="114300" distR="114300" simplePos="0" relativeHeight="251663360" behindDoc="1" locked="0" layoutInCell="1" allowOverlap="1" wp14:anchorId="504AD32B" wp14:editId="6193ED4A">
              <wp:simplePos x="0" y="0"/>
              <wp:positionH relativeFrom="page">
                <wp:posOffset>899795</wp:posOffset>
              </wp:positionH>
              <wp:positionV relativeFrom="page">
                <wp:posOffset>683895</wp:posOffset>
              </wp:positionV>
              <wp:extent cx="5580380" cy="216535"/>
              <wp:effectExtent l="13970" t="0" r="6350" b="4445"/>
              <wp:wrapNone/>
              <wp:docPr id="2040" name="组合 20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0380" cy="216535"/>
                        <a:chOff x="1417" y="1077"/>
                        <a:chExt cx="8788" cy="341"/>
                      </a:xfrm>
                    </wpg:grpSpPr>
                    <wps:wsp>
                      <wps:cNvPr id="2102" name="Rectangle 35"/>
                      <wps:cNvSpPr>
                        <a:spLocks noChangeArrowheads="1"/>
                      </wps:cNvSpPr>
                      <wps:spPr bwMode="auto">
                        <a:xfrm>
                          <a:off x="1417" y="1077"/>
                          <a:ext cx="454" cy="341"/>
                        </a:xfrm>
                        <a:prstGeom prst="rect">
                          <a:avLst/>
                        </a:prstGeom>
                        <a:solidFill>
                          <a:srgbClr val="0A37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3" name="Line 36"/>
                      <wps:cNvCnPr/>
                      <wps:spPr bwMode="auto">
                        <a:xfrm>
                          <a:off x="1417" y="1412"/>
                          <a:ext cx="8788" cy="0"/>
                        </a:xfrm>
                        <a:prstGeom prst="line">
                          <a:avLst/>
                        </a:prstGeom>
                        <a:noFill/>
                        <a:ln w="6337">
                          <a:solidFill>
                            <a:srgbClr val="0A376A"/>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04"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623" y="1092"/>
                          <a:ext cx="1488"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05" name="Picture 3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320" y="1086"/>
                          <a:ext cx="278"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组合 2040" o:spid="_x0000_s1026" style="position:absolute;left:0;text-align:left;margin-left:70.85pt;margin-top:53.85pt;width:439.4pt;height:17.05pt;z-index:-251653120;mso-position-horizontal-relative:page;mso-position-vertical-relative:page" coordorigin="1417,1077" coordsize="8788,34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">
              <v:rect id="Rectangle 35" o:spid="_x0000_s1027" style="position:absolute;left:1417;top:1077;width:454;height: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qCI8UA&#10;AADdAAAADwAAAGRycy9kb3ducmV2LnhtbESPQYvCMBSE7wv+h/AEb2tqxdVWo4ggLOxJXVFvj+bZ&#10;VpuX0kSt/94IC3scZuYbZrZoTSXu1LjSsoJBPwJBnFldcq7gd7f+nIBwHlljZZkUPMnBYt75mGGq&#10;7YM3dN/6XAQIuxQVFN7XqZQuK8ig69uaOHhn2xj0QTa51A0+AtxUMo6iL2mw5LBQYE2rgrLr9mYU&#10;jIandr8bHy6JyTc/8eSaXI7HRKlet11OQXhq/X/4r/2tFcSDKIb3m/A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ioIjxQAAAN0AAAAPAAAAAAAAAAAAAAAAAJgCAABkcnMv&#10;ZG93bnJldi54bWxQSwUGAAAAAAQABAD1AAAAigMAAAAA&#10;" fillcolor="#0a376a" stroked="f"/>
              <v:line id="Line 36" o:spid="_x0000_s1028" style="position:absolute;visibility:visible;mso-wrap-style:square" from="1417,1412" to="10205,1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fFCsQAAADdAAAADwAAAGRycy9kb3ducmV2LnhtbESPzYoCMRCE78K+Q+gFL6KJCiKjUVwX&#10;WfHk3wM0k97JsJPOMIk669MbQfBYVNVX1HzZukpcqQmlZw3DgQJBnHtTcqHhfNr0pyBCRDZYeSYN&#10;/xRgufjozDEz/sYHuh5jIRKEQ4YabIx1JmXILTkMA18TJ+/XNw5jkk0hTYO3BHeVHCk1kQ5LTgsW&#10;a1pbyv+OF6ehp9zYK/v1s/P1Sn5P9+X9Mllr3f1sVzMQkdr4Dr/aW6NhNFRjeL5JT0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p8UKxAAAAN0AAAAPAAAAAAAAAAAA&#10;AAAAAKECAABkcnMvZG93bnJldi54bWxQSwUGAAAAAAQABAD5AAAAkgMAAAAA&#10;" strokecolor="#0a376a" strokeweight=".17603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29" type="#_x0000_t75" style="position:absolute;left:8623;top:1092;width:1488;height:2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vhmjEAAAA3QAAAA8AAABkcnMvZG93bnJldi54bWxEj82LwjAUxO+C/0N4wt40URaRalrEDxB2&#10;L34dvD2aZ1ttXkqT1e5/v1kQPA4z8xtmkXW2Fg9qfeVYw3ikQBDnzlRcaDgdt8MZCB+QDdaOScMv&#10;ecjSfm+BiXFP3tPjEAoRIewT1FCG0CRS+rwki37kGuLoXV1rMUTZFtK0+IxwW8uJUlNpseK4UGJD&#10;q5Ly++HHasDvnNTua3O+b9e3k5P+spryReuPQbecgwjUhXf41d4ZDZOx+oT/N/EJyPQ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fvhmjEAAAA3QAAAA8AAAAAAAAAAAAAAAAA&#10;nwIAAGRycy9kb3ducmV2LnhtbFBLBQYAAAAABAAEAPcAAACQAwAAAAA=&#10;">
                <v:imagedata r:id="rId3" o:title=""/>
              </v:shape>
              <v:shape id="Picture 38" o:spid="_x0000_s1030" type="#_x0000_t75" style="position:absolute;left:8320;top:1086;width:278;height: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DN6vHAAAA3QAAAA8AAABkcnMvZG93bnJldi54bWxEj09rwkAUxO+FfoflFbxI3URQSuoaquAf&#10;1Ett6fmRfU1Cs2/j7hqjn75bEHocZuY3zCzvTSM6cr62rCAdJSCIC6trLhV8fqyeX0D4gKyxsUwK&#10;ruQhnz8+zDDT9sLv1B1DKSKEfYYKqhDaTEpfVGTQj2xLHL1v6wyGKF0ptcNLhJtGjpNkKg3WHBcq&#10;bGlZUfFzPBsFerM4ubD/OuzWezO83srusNpKpQZP/dsriEB9+A/f21utYJwmE/h7E5+AnP8C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hDN6vHAAAA3QAAAA8AAAAAAAAAAAAA&#10;AAAAnwIAAGRycy9kb3ducmV2LnhtbFBLBQYAAAAABAAEAPcAAACTAwAAAAA=&#10;">
                <v:imagedata r:id="rId4" o:title=""/>
              </v:shape>
              <w10:wrap anchorx="page" anchory="page"/>
            </v:group>
          </w:pict>
        </mc:Fallback>
      </mc:AlternateContent>
    </w:r>
    <w:r>
      <w:rPr>
        <w:noProof/>
        <w:lang w:val="en-US" w:bidi="ar-SA"/>
      </w:rPr>
      <mc:AlternateContent>
        <mc:Choice Requires="wps">
          <w:drawing>
            <wp:anchor distT="0" distB="0" distL="114300" distR="114300" simplePos="0" relativeHeight="251664384" behindDoc="1" locked="0" layoutInCell="1" allowOverlap="1" wp14:anchorId="03031377" wp14:editId="280E7F11">
              <wp:simplePos x="0" y="0"/>
              <wp:positionH relativeFrom="page">
                <wp:posOffset>944245</wp:posOffset>
              </wp:positionH>
              <wp:positionV relativeFrom="page">
                <wp:posOffset>664845</wp:posOffset>
              </wp:positionV>
              <wp:extent cx="199390" cy="218440"/>
              <wp:effectExtent l="1270" t="0" r="0" b="2540"/>
              <wp:wrapNone/>
              <wp:docPr id="2039" name="文本框 2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1A5" w:rsidRDefault="00AC71A5">
                          <w:pPr>
                            <w:pStyle w:val="a5"/>
                            <w:spacing w:before="74"/>
                            <w:ind w:left="40"/>
                            <w:rPr>
                              <w:rFonts w:ascii="Arial"/>
                            </w:rPr>
                          </w:pPr>
                          <w:r>
                            <w:fldChar w:fldCharType="begin"/>
                          </w:r>
                          <w:r>
                            <w:rPr>
                              <w:rFonts w:ascii="Arial"/>
                              <w:color w:val="FFFFFF"/>
                            </w:rPr>
                            <w:instrText xml:space="preserve"> PAGE </w:instrText>
                          </w:r>
                          <w:r>
                            <w:fldChar w:fldCharType="separate"/>
                          </w:r>
                          <w:r>
                            <w:rPr>
                              <w:rFonts w:ascii="Arial"/>
                              <w:noProof/>
                              <w:color w:val="FFFFFF"/>
                            </w:rPr>
                            <w:t>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039" o:spid="_x0000_s1026" type="#_x0000_t202" style="position:absolute;margin-left:74.35pt;margin-top:52.35pt;width:15.7pt;height:17.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" filled="f" stroked="f">
              <v:textbox inset="0,0,0,0">
                <w:txbxContent>
                  <w:p w:rsidR="00AC71A5" w:rsidRDefault="00AC71A5">
                    <w:pPr>
                      <w:pStyle w:val="a5"/>
                      <w:spacing w:before="74"/>
                      <w:ind w:left="40"/>
                      <w:rPr>
                        <w:rFonts w:ascii="Arial"/>
                      </w:rPr>
                    </w:pPr>
                    <w:r>
                      <w:fldChar w:fldCharType="begin"/>
                    </w:r>
                    <w:r>
                      <w:rPr>
                        <w:rFonts w:ascii="Arial"/>
                        <w:color w:val="FFFFFF"/>
                      </w:rPr>
                      <w:instrText xml:space="preserve"> PAGE </w:instrText>
                    </w:r>
                    <w:r>
                      <w:fldChar w:fldCharType="separate"/>
                    </w:r>
                    <w:r>
                      <w:rPr>
                        <w:rFonts w:ascii="Arial"/>
                        <w:noProof/>
                        <w:color w:val="FFFFFF"/>
                      </w:rPr>
                      <w:t>98</w:t>
                    </w:r>
                    <w: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1A5" w:rsidRDefault="00AC71A5">
    <w:pPr>
      <w:pStyle w:val="a5"/>
      <w:spacing w:line="14" w:lineRule="auto"/>
      <w:rPr>
        <w:sz w:val="20"/>
      </w:rPr>
    </w:pPr>
    <w:r>
      <w:rPr>
        <w:noProof/>
        <w:lang w:val="en-US" w:bidi="ar-SA"/>
      </w:rPr>
      <mc:AlternateContent>
        <mc:Choice Requires="wpg">
          <w:drawing>
            <wp:anchor distT="0" distB="0" distL="114300" distR="114300" simplePos="0" relativeHeight="251660288" behindDoc="1" locked="0" layoutInCell="1" allowOverlap="1" wp14:anchorId="5D47E7C4" wp14:editId="2A93313B">
              <wp:simplePos x="0" y="0"/>
              <wp:positionH relativeFrom="page">
                <wp:posOffset>1080135</wp:posOffset>
              </wp:positionH>
              <wp:positionV relativeFrom="page">
                <wp:posOffset>683895</wp:posOffset>
              </wp:positionV>
              <wp:extent cx="5580380" cy="216535"/>
              <wp:effectExtent l="13335" t="0" r="6985" b="4445"/>
              <wp:wrapNone/>
              <wp:docPr id="2036" name="组合 20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0380" cy="216535"/>
                        <a:chOff x="1701" y="1077"/>
                        <a:chExt cx="8788" cy="341"/>
                      </a:xfrm>
                    </wpg:grpSpPr>
                    <wps:wsp>
                      <wps:cNvPr id="2108" name="Rectangle 30"/>
                      <wps:cNvSpPr>
                        <a:spLocks noChangeArrowheads="1"/>
                      </wps:cNvSpPr>
                      <wps:spPr bwMode="auto">
                        <a:xfrm>
                          <a:off x="10034" y="1077"/>
                          <a:ext cx="454" cy="341"/>
                        </a:xfrm>
                        <a:prstGeom prst="rect">
                          <a:avLst/>
                        </a:prstGeom>
                        <a:solidFill>
                          <a:srgbClr val="0A37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9" name="Line 31"/>
                      <wps:cNvCnPr/>
                      <wps:spPr bwMode="auto">
                        <a:xfrm>
                          <a:off x="10488" y="1412"/>
                          <a:ext cx="0" cy="0"/>
                        </a:xfrm>
                        <a:prstGeom prst="line">
                          <a:avLst/>
                        </a:prstGeom>
                        <a:noFill/>
                        <a:ln w="6337">
                          <a:solidFill>
                            <a:srgbClr val="0A376A"/>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2036" o:spid="_x0000_s1026" style="position:absolute;left:0;text-align:left;margin-left:85.05pt;margin-top:53.85pt;width:439.4pt;height:17.05pt;z-index:-251656192;mso-position-horizontal-relative:page;mso-position-vertical-relative:page" coordorigin="1701,1077" coordsize="8788,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">
              <v:rect id="Rectangle 30" o:spid="_x0000_s1027" style="position:absolute;left:10034;top:1077;width:454;height: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K1ycQA&#10;AADdAAAADwAAAGRycy9kb3ducmV2LnhtbERPTWvCQBC9F/oflin01mySUmuim1AEQehJbanehuw0&#10;icnOhuyq6b/vHgSPj/e9LCfTiwuNrrWsIIliEMSV1S3XCr7265c5COeRNfaWScEfOSiLx4cl5tpe&#10;eUuXna9FCGGXo4LG+yGX0lUNGXSRHYgD92tHgz7AsZZ6xGsIN71M43gmDbYcGhocaNVQ1e3ORsHb&#10;63H63r//nDJTbz/TeZedDodMqeen6WMBwtPk7+Kbe6MVpEkc5oY34QnI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itcnEAAAA3QAAAA8AAAAAAAAAAAAAAAAAmAIAAGRycy9k&#10;b3ducmV2LnhtbFBLBQYAAAAABAAEAPUAAACJAwAAAAA=&#10;" fillcolor="#0a376a" stroked="f"/>
              <v:line id="Line 31" o:spid="_x0000_s1028" style="position:absolute;visibility:visible;mso-wrap-style:square" from="10488,1412" to="10488,1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y4MUAAADdAAAADwAAAGRycy9kb3ducmV2LnhtbESP0WoCMRRE3wX/IVyhL1ITLYjdGpdV&#10;KRWfrO0HXDa3m6Wbm2UTdfXrTaHg4zAzZ5hl3rtGnKkLtWcN04kCQVx6U3Ol4fvr/XkBIkRkg41n&#10;0nClAPlqOFhiZvyFP+l8jJVIEA4ZarAxtpmUobTkMEx8S5y8H985jEl2lTQdXhLcNXKm1Fw6rDkt&#10;WGxpY6n8PZ6chrFyL17Z9cfet4XcLg717TTfaP006os3EJH6+Aj/t3dGw2yqXuHvTXoCcn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0/y4MUAAADdAAAADwAAAAAAAAAA&#10;AAAAAAChAgAAZHJzL2Rvd25yZXYueG1sUEsFBgAAAAAEAAQA+QAAAJMDAAAAAA==&#10;" strokecolor="#0a376a" strokeweight=".17603mm"/>
              <w10:wrap anchorx="page" anchory="page"/>
            </v:group>
          </w:pict>
        </mc:Fallback>
      </mc:AlternateContent>
    </w:r>
    <w:r>
      <w:rPr>
        <w:noProof/>
        <w:lang w:val="en-US" w:bidi="ar-SA"/>
      </w:rPr>
      <mc:AlternateContent>
        <mc:Choice Requires="wps">
          <w:drawing>
            <wp:anchor distT="0" distB="0" distL="114300" distR="114300" simplePos="0" relativeHeight="251661312" behindDoc="1" locked="0" layoutInCell="1" allowOverlap="1" wp14:anchorId="6BD474E7" wp14:editId="5095C544">
              <wp:simplePos x="0" y="0"/>
              <wp:positionH relativeFrom="page">
                <wp:posOffset>6416675</wp:posOffset>
              </wp:positionH>
              <wp:positionV relativeFrom="page">
                <wp:posOffset>664845</wp:posOffset>
              </wp:positionV>
              <wp:extent cx="199390" cy="218440"/>
              <wp:effectExtent l="0" t="0" r="3810" b="2540"/>
              <wp:wrapNone/>
              <wp:docPr id="2035" name="文本框 2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1A5" w:rsidRDefault="00AC71A5">
                          <w:pPr>
                            <w:pStyle w:val="a5"/>
                            <w:spacing w:before="74"/>
                            <w:ind w:left="40"/>
                            <w:rPr>
                              <w:rFonts w:ascii="Arial"/>
                            </w:rPr>
                          </w:pPr>
                          <w:r>
                            <w:fldChar w:fldCharType="begin"/>
                          </w:r>
                          <w:r>
                            <w:rPr>
                              <w:rFonts w:ascii="Arial"/>
                              <w:color w:val="FFFFFF"/>
                            </w:rPr>
                            <w:instrText xml:space="preserve"> PAGE </w:instrText>
                          </w:r>
                          <w:r>
                            <w:fldChar w:fldCharType="separate"/>
                          </w:r>
                          <w:r>
                            <w:rPr>
                              <w:rFonts w:ascii="Arial"/>
                              <w:noProof/>
                              <w:color w:val="FFFFFF"/>
                            </w:rPr>
                            <w:t>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035" o:spid="_x0000_s1027" type="#_x0000_t202" style="position:absolute;margin-left:505.25pt;margin-top:52.35pt;width:15.7pt;height:17.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" filled="f" stroked="f">
              <v:textbox inset="0,0,0,0">
                <w:txbxContent>
                  <w:p w:rsidR="00AC71A5" w:rsidRDefault="00AC71A5">
                    <w:pPr>
                      <w:pStyle w:val="a5"/>
                      <w:spacing w:before="74"/>
                      <w:ind w:left="40"/>
                      <w:rPr>
                        <w:rFonts w:ascii="Arial"/>
                      </w:rPr>
                    </w:pPr>
                    <w:r>
                      <w:fldChar w:fldCharType="begin"/>
                    </w:r>
                    <w:r>
                      <w:rPr>
                        <w:rFonts w:ascii="Arial"/>
                        <w:color w:val="FFFFFF"/>
                      </w:rPr>
                      <w:instrText xml:space="preserve"> PAGE </w:instrText>
                    </w:r>
                    <w:r>
                      <w:fldChar w:fldCharType="separate"/>
                    </w:r>
                    <w:r>
                      <w:rPr>
                        <w:rFonts w:ascii="Arial"/>
                        <w:noProof/>
                        <w:color w:val="FFFFFF"/>
                      </w:rPr>
                      <w:t>64</w:t>
                    </w:r>
                    <w:r>
                      <w:fldChar w:fldCharType="end"/>
                    </w:r>
                  </w:p>
                </w:txbxContent>
              </v:textbox>
              <w10:wrap anchorx="page" anchory="page"/>
            </v:shape>
          </w:pict>
        </mc:Fallback>
      </mc:AlternateContent>
    </w:r>
    <w:r>
      <w:rPr>
        <w:noProof/>
        <w:lang w:val="en-US" w:bidi="ar-SA"/>
      </w:rPr>
      <mc:AlternateContent>
        <mc:Choice Requires="wps">
          <w:drawing>
            <wp:anchor distT="0" distB="0" distL="114300" distR="114300" simplePos="0" relativeHeight="251662336" behindDoc="1" locked="0" layoutInCell="1" allowOverlap="1" wp14:anchorId="1CBDAB94" wp14:editId="336C197E">
              <wp:simplePos x="0" y="0"/>
              <wp:positionH relativeFrom="page">
                <wp:posOffset>1067435</wp:posOffset>
              </wp:positionH>
              <wp:positionV relativeFrom="page">
                <wp:posOffset>697230</wp:posOffset>
              </wp:positionV>
              <wp:extent cx="2425700" cy="179070"/>
              <wp:effectExtent l="635" t="1905" r="2540" b="0"/>
              <wp:wrapNone/>
              <wp:docPr id="2034" name="文本框 2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1A5" w:rsidRDefault="00AC71A5">
                          <w:pPr>
                            <w:pStyle w:val="a5"/>
                            <w:tabs>
                              <w:tab w:val="left" w:pos="1069"/>
                            </w:tabs>
                            <w:spacing w:line="260" w:lineRule="exact"/>
                            <w:ind w:left="20"/>
                          </w:pPr>
                          <w:r>
                            <w:rPr>
                              <w:color w:val="231F20"/>
                            </w:rPr>
                            <w:t>第三部分</w:t>
                          </w:r>
                          <w:r>
                            <w:rPr>
                              <w:color w:val="231F20"/>
                            </w:rPr>
                            <w:tab/>
                            <w:t>构建系统性金融风险防控体系</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034" o:spid="_x0000_s1028" type="#_x0000_t202" style="position:absolute;margin-left:84.05pt;margin-top:54.9pt;width:191pt;height:14.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" filled="f" stroked="f">
              <v:textbox inset="0,0,0,0">
                <w:txbxContent>
                  <w:p w:rsidR="00AC71A5" w:rsidRDefault="00AC71A5">
                    <w:pPr>
                      <w:pStyle w:val="a5"/>
                      <w:tabs>
                        <w:tab w:val="left" w:pos="1069"/>
                      </w:tabs>
                      <w:spacing w:line="260" w:lineRule="exact"/>
                      <w:ind w:left="20"/>
                    </w:pPr>
                    <w:r>
                      <w:rPr>
                        <w:color w:val="231F20"/>
                      </w:rPr>
                      <w:t>第三部分</w:t>
                    </w:r>
                    <w:r>
                      <w:rPr>
                        <w:color w:val="231F20"/>
                      </w:rPr>
                      <w:tab/>
                      <w:t>构建系统性金融风险防控体系</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D49"/>
    <w:rsid w:val="001D703D"/>
    <w:rsid w:val="00A50075"/>
    <w:rsid w:val="00AC71A5"/>
    <w:rsid w:val="00BD7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C71A5"/>
    <w:pPr>
      <w:widowControl w:val="0"/>
      <w:autoSpaceDE w:val="0"/>
      <w:autoSpaceDN w:val="0"/>
    </w:pPr>
    <w:rPr>
      <w:rFonts w:ascii="宋体" w:eastAsia="宋体" w:hAnsi="宋体" w:cs="宋体"/>
      <w:kern w:val="0"/>
      <w:sz w:val="22"/>
      <w:lang w:val="zh-CN" w:bidi="zh-CN"/>
    </w:rPr>
  </w:style>
  <w:style w:type="paragraph" w:styleId="3">
    <w:name w:val="heading 3"/>
    <w:basedOn w:val="a"/>
    <w:link w:val="3Char"/>
    <w:uiPriority w:val="1"/>
    <w:qFormat/>
    <w:rsid w:val="00AC71A5"/>
    <w:pPr>
      <w:ind w:left="897"/>
      <w:outlineLvl w:val="2"/>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71A5"/>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val="en-US" w:bidi="ar-SA"/>
    </w:rPr>
  </w:style>
  <w:style w:type="character" w:customStyle="1" w:styleId="Char">
    <w:name w:val="页眉 Char"/>
    <w:basedOn w:val="a0"/>
    <w:link w:val="a3"/>
    <w:uiPriority w:val="99"/>
    <w:rsid w:val="00AC71A5"/>
    <w:rPr>
      <w:sz w:val="18"/>
      <w:szCs w:val="18"/>
    </w:rPr>
  </w:style>
  <w:style w:type="paragraph" w:styleId="a4">
    <w:name w:val="footer"/>
    <w:basedOn w:val="a"/>
    <w:link w:val="Char0"/>
    <w:uiPriority w:val="99"/>
    <w:unhideWhenUsed/>
    <w:rsid w:val="00AC71A5"/>
    <w:pPr>
      <w:tabs>
        <w:tab w:val="center" w:pos="4153"/>
        <w:tab w:val="right" w:pos="8306"/>
      </w:tabs>
      <w:autoSpaceDE/>
      <w:autoSpaceDN/>
      <w:snapToGrid w:val="0"/>
    </w:pPr>
    <w:rPr>
      <w:rFonts w:asciiTheme="minorHAnsi" w:eastAsiaTheme="minorEastAsia" w:hAnsiTheme="minorHAnsi" w:cstheme="minorBidi"/>
      <w:kern w:val="2"/>
      <w:sz w:val="18"/>
      <w:szCs w:val="18"/>
      <w:lang w:val="en-US" w:bidi="ar-SA"/>
    </w:rPr>
  </w:style>
  <w:style w:type="character" w:customStyle="1" w:styleId="Char0">
    <w:name w:val="页脚 Char"/>
    <w:basedOn w:val="a0"/>
    <w:link w:val="a4"/>
    <w:uiPriority w:val="99"/>
    <w:rsid w:val="00AC71A5"/>
    <w:rPr>
      <w:sz w:val="18"/>
      <w:szCs w:val="18"/>
    </w:rPr>
  </w:style>
  <w:style w:type="character" w:customStyle="1" w:styleId="3Char">
    <w:name w:val="标题 3 Char"/>
    <w:basedOn w:val="a0"/>
    <w:link w:val="3"/>
    <w:uiPriority w:val="1"/>
    <w:rsid w:val="00AC71A5"/>
    <w:rPr>
      <w:rFonts w:ascii="宋体" w:eastAsia="宋体" w:hAnsi="宋体" w:cs="宋体"/>
      <w:kern w:val="0"/>
      <w:sz w:val="24"/>
      <w:szCs w:val="24"/>
      <w:lang w:val="zh-CN" w:bidi="zh-CN"/>
    </w:rPr>
  </w:style>
  <w:style w:type="table" w:customStyle="1" w:styleId="TableNormal">
    <w:name w:val="Table Normal"/>
    <w:uiPriority w:val="2"/>
    <w:semiHidden/>
    <w:unhideWhenUsed/>
    <w:qFormat/>
    <w:rsid w:val="00AC71A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AC71A5"/>
    <w:rPr>
      <w:sz w:val="21"/>
      <w:szCs w:val="21"/>
    </w:rPr>
  </w:style>
  <w:style w:type="character" w:customStyle="1" w:styleId="Char1">
    <w:name w:val="正文文本 Char"/>
    <w:basedOn w:val="a0"/>
    <w:link w:val="a5"/>
    <w:uiPriority w:val="1"/>
    <w:rsid w:val="00AC71A5"/>
    <w:rPr>
      <w:rFonts w:ascii="宋体" w:eastAsia="宋体" w:hAnsi="宋体" w:cs="宋体"/>
      <w:kern w:val="0"/>
      <w:szCs w:val="21"/>
      <w:lang w:val="zh-CN" w:bidi="zh-CN"/>
    </w:rPr>
  </w:style>
  <w:style w:type="paragraph" w:customStyle="1" w:styleId="TableParagraph">
    <w:name w:val="Table Paragraph"/>
    <w:basedOn w:val="a"/>
    <w:uiPriority w:val="1"/>
    <w:qFormat/>
    <w:rsid w:val="00AC71A5"/>
    <w:pPr>
      <w:spacing w:before="47"/>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C71A5"/>
    <w:pPr>
      <w:widowControl w:val="0"/>
      <w:autoSpaceDE w:val="0"/>
      <w:autoSpaceDN w:val="0"/>
    </w:pPr>
    <w:rPr>
      <w:rFonts w:ascii="宋体" w:eastAsia="宋体" w:hAnsi="宋体" w:cs="宋体"/>
      <w:kern w:val="0"/>
      <w:sz w:val="22"/>
      <w:lang w:val="zh-CN" w:bidi="zh-CN"/>
    </w:rPr>
  </w:style>
  <w:style w:type="paragraph" w:styleId="3">
    <w:name w:val="heading 3"/>
    <w:basedOn w:val="a"/>
    <w:link w:val="3Char"/>
    <w:uiPriority w:val="1"/>
    <w:qFormat/>
    <w:rsid w:val="00AC71A5"/>
    <w:pPr>
      <w:ind w:left="897"/>
      <w:outlineLvl w:val="2"/>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71A5"/>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val="en-US" w:bidi="ar-SA"/>
    </w:rPr>
  </w:style>
  <w:style w:type="character" w:customStyle="1" w:styleId="Char">
    <w:name w:val="页眉 Char"/>
    <w:basedOn w:val="a0"/>
    <w:link w:val="a3"/>
    <w:uiPriority w:val="99"/>
    <w:rsid w:val="00AC71A5"/>
    <w:rPr>
      <w:sz w:val="18"/>
      <w:szCs w:val="18"/>
    </w:rPr>
  </w:style>
  <w:style w:type="paragraph" w:styleId="a4">
    <w:name w:val="footer"/>
    <w:basedOn w:val="a"/>
    <w:link w:val="Char0"/>
    <w:uiPriority w:val="99"/>
    <w:unhideWhenUsed/>
    <w:rsid w:val="00AC71A5"/>
    <w:pPr>
      <w:tabs>
        <w:tab w:val="center" w:pos="4153"/>
        <w:tab w:val="right" w:pos="8306"/>
      </w:tabs>
      <w:autoSpaceDE/>
      <w:autoSpaceDN/>
      <w:snapToGrid w:val="0"/>
    </w:pPr>
    <w:rPr>
      <w:rFonts w:asciiTheme="minorHAnsi" w:eastAsiaTheme="minorEastAsia" w:hAnsiTheme="minorHAnsi" w:cstheme="minorBidi"/>
      <w:kern w:val="2"/>
      <w:sz w:val="18"/>
      <w:szCs w:val="18"/>
      <w:lang w:val="en-US" w:bidi="ar-SA"/>
    </w:rPr>
  </w:style>
  <w:style w:type="character" w:customStyle="1" w:styleId="Char0">
    <w:name w:val="页脚 Char"/>
    <w:basedOn w:val="a0"/>
    <w:link w:val="a4"/>
    <w:uiPriority w:val="99"/>
    <w:rsid w:val="00AC71A5"/>
    <w:rPr>
      <w:sz w:val="18"/>
      <w:szCs w:val="18"/>
    </w:rPr>
  </w:style>
  <w:style w:type="character" w:customStyle="1" w:styleId="3Char">
    <w:name w:val="标题 3 Char"/>
    <w:basedOn w:val="a0"/>
    <w:link w:val="3"/>
    <w:uiPriority w:val="1"/>
    <w:rsid w:val="00AC71A5"/>
    <w:rPr>
      <w:rFonts w:ascii="宋体" w:eastAsia="宋体" w:hAnsi="宋体" w:cs="宋体"/>
      <w:kern w:val="0"/>
      <w:sz w:val="24"/>
      <w:szCs w:val="24"/>
      <w:lang w:val="zh-CN" w:bidi="zh-CN"/>
    </w:rPr>
  </w:style>
  <w:style w:type="table" w:customStyle="1" w:styleId="TableNormal">
    <w:name w:val="Table Normal"/>
    <w:uiPriority w:val="2"/>
    <w:semiHidden/>
    <w:unhideWhenUsed/>
    <w:qFormat/>
    <w:rsid w:val="00AC71A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AC71A5"/>
    <w:rPr>
      <w:sz w:val="21"/>
      <w:szCs w:val="21"/>
    </w:rPr>
  </w:style>
  <w:style w:type="character" w:customStyle="1" w:styleId="Char1">
    <w:name w:val="正文文本 Char"/>
    <w:basedOn w:val="a0"/>
    <w:link w:val="a5"/>
    <w:uiPriority w:val="1"/>
    <w:rsid w:val="00AC71A5"/>
    <w:rPr>
      <w:rFonts w:ascii="宋体" w:eastAsia="宋体" w:hAnsi="宋体" w:cs="宋体"/>
      <w:kern w:val="0"/>
      <w:szCs w:val="21"/>
      <w:lang w:val="zh-CN" w:bidi="zh-CN"/>
    </w:rPr>
  </w:style>
  <w:style w:type="paragraph" w:customStyle="1" w:styleId="TableParagraph">
    <w:name w:val="Table Paragraph"/>
    <w:basedOn w:val="a"/>
    <w:uiPriority w:val="1"/>
    <w:qFormat/>
    <w:rsid w:val="00AC71A5"/>
    <w:pPr>
      <w:spacing w:before="47"/>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1240</Words>
  <Characters>7072</Characters>
  <Application>Microsoft Office Word</Application>
  <DocSecurity>0</DocSecurity>
  <Lines>58</Lines>
  <Paragraphs>16</Paragraphs>
  <ScaleCrop>false</ScaleCrop>
  <Company/>
  <LinksUpToDate>false</LinksUpToDate>
  <CharactersWithSpaces>8296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CreditCN1106</dc:creator>
  <cp:keywords/>
  <dc:description/>
  <cp:lastModifiedBy>CreditCN1106</cp:lastModifiedBy>
  <cp:revision>2</cp:revision>
  <dcterms:created xsi:type="dcterms:W3CDTF">2021-09-06T05:34:00Z</dcterms:created>
  <dcterms:modified xsi:type="dcterms:W3CDTF">2021-09-06T05:34:00Z</dcterms:modified>
</cp:coreProperties>
</file>