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FE" w:rsidRDefault="000B52FE" w:rsidP="000B52FE">
      <w:pPr>
        <w:pStyle w:val="a5"/>
        <w:rPr>
          <w:sz w:val="20"/>
        </w:rPr>
      </w:pPr>
    </w:p>
    <w:p w:rsidR="000B52FE" w:rsidRDefault="000B52FE" w:rsidP="000B52FE">
      <w:pPr>
        <w:pStyle w:val="a5"/>
        <w:rPr>
          <w:sz w:val="20"/>
        </w:rPr>
      </w:pPr>
    </w:p>
    <w:p w:rsidR="000B52FE" w:rsidRDefault="000B52FE" w:rsidP="000B52FE">
      <w:pPr>
        <w:pStyle w:val="a5"/>
        <w:rPr>
          <w:sz w:val="20"/>
        </w:rPr>
      </w:pPr>
    </w:p>
    <w:p w:rsidR="000B52FE" w:rsidRDefault="000B52FE" w:rsidP="000B52FE">
      <w:pPr>
        <w:tabs>
          <w:tab w:val="left" w:pos="3930"/>
        </w:tabs>
        <w:spacing w:before="228"/>
        <w:ind w:left="2571"/>
        <w:rPr>
          <w:sz w:val="34"/>
        </w:rPr>
      </w:pPr>
      <w:r>
        <w:rPr>
          <w:color w:val="0A376A"/>
          <w:sz w:val="34"/>
        </w:rPr>
        <w:t>专题三</w:t>
      </w:r>
      <w:r>
        <w:rPr>
          <w:color w:val="0A376A"/>
          <w:sz w:val="34"/>
        </w:rPr>
        <w:tab/>
        <w:t>规范发展第三支柱养老保险</w:t>
      </w:r>
    </w:p>
    <w:p w:rsidR="000B52FE" w:rsidRDefault="000B52FE" w:rsidP="000B52FE">
      <w:pPr>
        <w:pStyle w:val="a5"/>
        <w:rPr>
          <w:sz w:val="20"/>
        </w:rPr>
      </w:pPr>
    </w:p>
    <w:p w:rsidR="000B52FE" w:rsidRDefault="000B52FE" w:rsidP="000B52FE">
      <w:pPr>
        <w:pStyle w:val="a5"/>
        <w:rPr>
          <w:sz w:val="20"/>
        </w:rPr>
      </w:pPr>
    </w:p>
    <w:p w:rsidR="000B52FE" w:rsidRDefault="000B52FE" w:rsidP="000B52FE">
      <w:pPr>
        <w:pStyle w:val="a5"/>
        <w:rPr>
          <w:sz w:val="19"/>
        </w:rPr>
      </w:pPr>
    </w:p>
    <w:p w:rsidR="000B52FE" w:rsidRDefault="000B52FE" w:rsidP="000B52FE">
      <w:pPr>
        <w:rPr>
          <w:sz w:val="19"/>
        </w:rPr>
        <w:sectPr w:rsidR="000B52FE">
          <w:pgSz w:w="11910" w:h="16160"/>
          <w:pgMar w:top="1400" w:right="0" w:bottom="280" w:left="520" w:header="1067" w:footer="0" w:gutter="0"/>
          <w:cols w:space="720"/>
        </w:sectPr>
      </w:pPr>
    </w:p>
    <w:p w:rsidR="000B52FE" w:rsidRDefault="000B52FE" w:rsidP="000B52FE">
      <w:pPr>
        <w:pStyle w:val="a5"/>
        <w:spacing w:before="77" w:line="374" w:lineRule="auto"/>
        <w:ind w:left="897" w:firstLine="425"/>
        <w:jc w:val="both"/>
      </w:pPr>
      <w:r>
        <w:rPr>
          <w:rFonts w:ascii="Times New Roman" w:eastAsia="Times New Roman"/>
          <w:color w:val="231F20"/>
        </w:rPr>
        <w:lastRenderedPageBreak/>
        <w:t>20</w:t>
      </w:r>
      <w:r>
        <w:rPr>
          <w:color w:val="231F20"/>
        </w:rPr>
        <w:t>世纪</w:t>
      </w:r>
      <w:r>
        <w:rPr>
          <w:rFonts w:ascii="Times New Roman" w:eastAsia="Times New Roman"/>
          <w:color w:val="231F20"/>
        </w:rPr>
        <w:t>90</w:t>
      </w:r>
      <w:r>
        <w:rPr>
          <w:color w:val="231F20"/>
        </w:rPr>
        <w:t>年代以来，我国逐步探索建立了以第一支柱基本养老保险为主体、第二支柱职业养老和第三支柱个人养老为补充的多层次、多支柱养老保险体系。其中，第一支柱基本养老保险制度已经比较健全，第二支柱逐步发展完善但人口覆盖相对有限，第三支柱还处于起步阶段。当前，随着我国人口老龄化程度的加深以及经济社会发展水平的提高，三支柱发展</w:t>
      </w:r>
      <w:proofErr w:type="gramStart"/>
      <w:r>
        <w:rPr>
          <w:color w:val="231F20"/>
        </w:rPr>
        <w:t>不</w:t>
      </w:r>
      <w:proofErr w:type="gramEnd"/>
      <w:r>
        <w:rPr>
          <w:color w:val="231F20"/>
        </w:rPr>
        <w:t>均衡的现状越来越难以适应可持续发展的需要，亟须进一步采取措施，规范发展第三支柱养老保险。</w:t>
      </w:r>
    </w:p>
    <w:p w:rsidR="000B52FE" w:rsidRDefault="000B52FE" w:rsidP="000B52FE">
      <w:pPr>
        <w:pStyle w:val="a5"/>
        <w:rPr>
          <w:sz w:val="20"/>
        </w:rPr>
      </w:pPr>
    </w:p>
    <w:p w:rsidR="000B52FE" w:rsidRDefault="000B52FE" w:rsidP="000B52FE">
      <w:pPr>
        <w:pStyle w:val="a5"/>
        <w:spacing w:before="9"/>
        <w:rPr>
          <w:sz w:val="15"/>
        </w:rPr>
      </w:pPr>
    </w:p>
    <w:p w:rsidR="000B52FE" w:rsidRDefault="000B52FE" w:rsidP="000B52FE">
      <w:pPr>
        <w:spacing w:line="249" w:lineRule="auto"/>
        <w:ind w:left="897" w:right="8" w:firstLine="464"/>
        <w:rPr>
          <w:sz w:val="28"/>
        </w:rPr>
      </w:pPr>
      <w:r>
        <w:rPr>
          <w:color w:val="0A376A"/>
          <w:sz w:val="28"/>
        </w:rPr>
        <w:t>一、发展第三支柱养老保险的国际经验</w:t>
      </w:r>
    </w:p>
    <w:p w:rsidR="000B52FE" w:rsidRDefault="000B52FE" w:rsidP="000B52FE">
      <w:pPr>
        <w:pStyle w:val="a5"/>
        <w:spacing w:before="6"/>
        <w:rPr>
          <w:sz w:val="35"/>
        </w:rPr>
      </w:pPr>
    </w:p>
    <w:p w:rsidR="000B52FE" w:rsidRDefault="000B52FE" w:rsidP="000B52FE">
      <w:pPr>
        <w:pStyle w:val="a5"/>
        <w:spacing w:line="374" w:lineRule="auto"/>
        <w:ind w:left="897" w:firstLine="425"/>
        <w:jc w:val="both"/>
      </w:pPr>
      <w:r>
        <w:rPr>
          <w:color w:val="231F20"/>
        </w:rPr>
        <w:t>从国际实践看，随着全球逐渐进入老龄化社会，许多经济体纷纷建立了多层次、多支柱的养老保险体系。</w:t>
      </w:r>
      <w:proofErr w:type="gramStart"/>
      <w:r>
        <w:rPr>
          <w:color w:val="231F20"/>
        </w:rPr>
        <w:t>各国第三</w:t>
      </w:r>
      <w:proofErr w:type="gramEnd"/>
      <w:r>
        <w:rPr>
          <w:color w:val="231F20"/>
        </w:rPr>
        <w:t>支柱养老保险的实际运行有所差异，但主流的政策框架和做法包括以下几个方面。</w:t>
      </w:r>
    </w:p>
    <w:p w:rsidR="000B52FE" w:rsidRDefault="000B52FE" w:rsidP="000B52FE">
      <w:pPr>
        <w:pStyle w:val="a5"/>
        <w:spacing w:before="1" w:line="374" w:lineRule="auto"/>
        <w:ind w:left="897" w:firstLine="425"/>
        <w:jc w:val="both"/>
      </w:pPr>
      <w:r>
        <w:rPr>
          <w:color w:val="231F20"/>
        </w:rPr>
        <w:t>一是提供财税优惠支持。国际成功经验表明，税收优惠对发展第三支柱养老保险能够起到有效的激励作用，通过税收减免和抵扣，可以提高个人参与的积极性，引导长期投资。典型做法包括延迟纳税（</w:t>
      </w:r>
      <w:r>
        <w:rPr>
          <w:rFonts w:ascii="Times New Roman" w:eastAsia="Times New Roman"/>
          <w:color w:val="231F20"/>
        </w:rPr>
        <w:t>EET</w:t>
      </w:r>
      <w:r>
        <w:rPr>
          <w:color w:val="231F20"/>
        </w:rPr>
        <w:t>）和只对缴费征税（</w:t>
      </w:r>
      <w:r>
        <w:rPr>
          <w:rFonts w:ascii="Times New Roman" w:eastAsia="Times New Roman"/>
          <w:color w:val="231F20"/>
        </w:rPr>
        <w:t>TEE</w:t>
      </w:r>
      <w:r>
        <w:rPr>
          <w:color w:val="231F20"/>
        </w:rPr>
        <w:t>）两种模式。其中，</w:t>
      </w:r>
      <w:r>
        <w:rPr>
          <w:rFonts w:ascii="Times New Roman" w:eastAsia="Times New Roman"/>
          <w:color w:val="231F20"/>
        </w:rPr>
        <w:t>EET</w:t>
      </w:r>
      <w:r>
        <w:rPr>
          <w:color w:val="231F20"/>
        </w:rPr>
        <w:t>是主</w:t>
      </w:r>
    </w:p>
    <w:p w:rsidR="000B52FE" w:rsidRDefault="000B52FE" w:rsidP="000B52FE">
      <w:pPr>
        <w:pStyle w:val="a5"/>
        <w:spacing w:before="77" w:line="374" w:lineRule="auto"/>
        <w:ind w:left="402" w:right="1686"/>
        <w:jc w:val="both"/>
      </w:pPr>
      <w:r>
        <w:br w:type="column"/>
      </w:r>
      <w:r>
        <w:rPr>
          <w:color w:val="231F20"/>
        </w:rPr>
        <w:lastRenderedPageBreak/>
        <w:t>流模式，即在缴费阶段、投资阶段免税，领取阶段征税。</w:t>
      </w:r>
      <w:r>
        <w:rPr>
          <w:rFonts w:ascii="Times New Roman" w:eastAsia="Times New Roman"/>
          <w:color w:val="231F20"/>
        </w:rPr>
        <w:t>TEE</w:t>
      </w:r>
      <w:r>
        <w:rPr>
          <w:color w:val="231F20"/>
        </w:rPr>
        <w:t>模式则是在缴费阶段征税， 投资阶段、领取阶段免税。美国、英国等经济体在养老金领域的税收政策均助推了第三支柱发展。如美国根据不同类型的个人退休账户（</w:t>
      </w:r>
      <w:r>
        <w:rPr>
          <w:rFonts w:ascii="Times New Roman" w:eastAsia="Times New Roman"/>
          <w:color w:val="231F20"/>
        </w:rPr>
        <w:t>IRA</w:t>
      </w:r>
      <w:r>
        <w:rPr>
          <w:color w:val="231F20"/>
        </w:rPr>
        <w:t>）采取了不同的税收激励措施， 其中覆盖面最广的是传统</w:t>
      </w:r>
      <w:r>
        <w:rPr>
          <w:rFonts w:ascii="Times New Roman" w:eastAsia="Times New Roman"/>
          <w:color w:val="231F20"/>
        </w:rPr>
        <w:t>IRA</w:t>
      </w:r>
      <w:r>
        <w:rPr>
          <w:color w:val="231F20"/>
        </w:rPr>
        <w:t>和罗斯</w:t>
      </w:r>
      <w:r>
        <w:rPr>
          <w:rFonts w:ascii="Times New Roman" w:eastAsia="Times New Roman"/>
          <w:color w:val="231F20"/>
        </w:rPr>
        <w:t>IRA</w:t>
      </w:r>
      <w:r>
        <w:rPr>
          <w:color w:val="231F20"/>
        </w:rPr>
        <w:t>，占主流的传统</w:t>
      </w:r>
      <w:r>
        <w:rPr>
          <w:rFonts w:ascii="Times New Roman" w:eastAsia="Times New Roman"/>
          <w:color w:val="231F20"/>
        </w:rPr>
        <w:t>IRA</w:t>
      </w:r>
      <w:r>
        <w:rPr>
          <w:color w:val="231F20"/>
        </w:rPr>
        <w:t>采取</w:t>
      </w:r>
      <w:r>
        <w:rPr>
          <w:rFonts w:ascii="Times New Roman" w:eastAsia="Times New Roman"/>
          <w:color w:val="231F20"/>
        </w:rPr>
        <w:t>EET</w:t>
      </w:r>
      <w:r>
        <w:rPr>
          <w:color w:val="231F20"/>
        </w:rPr>
        <w:t>模式，罗斯</w:t>
      </w:r>
      <w:r>
        <w:rPr>
          <w:rFonts w:ascii="Times New Roman" w:eastAsia="Times New Roman"/>
          <w:color w:val="231F20"/>
        </w:rPr>
        <w:t>IRA</w:t>
      </w:r>
      <w:r>
        <w:rPr>
          <w:color w:val="231F20"/>
        </w:rPr>
        <w:t>采取</w:t>
      </w:r>
      <w:r>
        <w:rPr>
          <w:rFonts w:ascii="Times New Roman" w:eastAsia="Times New Roman"/>
          <w:color w:val="231F20"/>
        </w:rPr>
        <w:t>TEE</w:t>
      </w:r>
      <w:r>
        <w:rPr>
          <w:color w:val="231F20"/>
        </w:rPr>
        <w:t>模式。英国根据个人养老金计划是否在英国税务局登记注册分为</w:t>
      </w:r>
      <w:r>
        <w:rPr>
          <w:rFonts w:ascii="Times New Roman" w:eastAsia="Times New Roman"/>
          <w:color w:val="231F20"/>
        </w:rPr>
        <w:t>EET</w:t>
      </w:r>
      <w:r>
        <w:rPr>
          <w:color w:val="231F20"/>
        </w:rPr>
        <w:t>和</w:t>
      </w:r>
      <w:r>
        <w:rPr>
          <w:rFonts w:ascii="Times New Roman" w:eastAsia="Times New Roman"/>
          <w:color w:val="231F20"/>
        </w:rPr>
        <w:t>TEE</w:t>
      </w:r>
      <w:r>
        <w:rPr>
          <w:color w:val="231F20"/>
        </w:rPr>
        <w:t>模式，实际运行中</w:t>
      </w:r>
      <w:r>
        <w:rPr>
          <w:rFonts w:ascii="Times New Roman" w:eastAsia="Times New Roman"/>
          <w:color w:val="231F20"/>
        </w:rPr>
        <w:t>EET</w:t>
      </w:r>
      <w:r>
        <w:rPr>
          <w:color w:val="231F20"/>
        </w:rPr>
        <w:t>模式较为普遍。</w:t>
      </w:r>
    </w:p>
    <w:p w:rsidR="000B52FE" w:rsidRDefault="000B52FE" w:rsidP="000B52FE">
      <w:pPr>
        <w:pStyle w:val="a5"/>
        <w:spacing w:before="3" w:line="374" w:lineRule="auto"/>
        <w:ind w:left="402" w:right="1688" w:firstLine="425"/>
        <w:jc w:val="both"/>
      </w:pPr>
      <w:r>
        <w:rPr>
          <w:color w:val="231F20"/>
        </w:rPr>
        <w:t>二是实施个人账户制。第三支柱养老保险可采取两种模式：一种是产品制，即税收优惠与特定金融产品挂钩，个人购买该产品的额度享受税收优惠；另一种是账户制，即设立专门的个人养老金账户，进入该账户的缴费可享受税收优惠。从国际经验看，账户制在税收优惠公平性和操作便利性方面具有优势，成为了主流模式。一方面，账户制的缴费、投资和待遇领取都是基于个人账户， 在账户内形成资金和信息的闭环，税收优惠直接给予个人。另一方面，账户制下的个人养老金具有独立性和灵活性，可以随个人工作变动进行携带和转移，便于与第二支柱做好衔接。</w:t>
      </w:r>
    </w:p>
    <w:p w:rsidR="000B52FE" w:rsidRDefault="000B52FE" w:rsidP="000B52FE">
      <w:pPr>
        <w:pStyle w:val="a5"/>
        <w:spacing w:before="4"/>
        <w:ind w:left="828"/>
      </w:pPr>
      <w:r>
        <w:rPr>
          <w:color w:val="231F20"/>
        </w:rPr>
        <w:t>三是个人自愿参加。与第一支柱基本养</w:t>
      </w:r>
    </w:p>
    <w:p w:rsidR="000B52FE" w:rsidRDefault="000B52FE" w:rsidP="000B52FE">
      <w:pPr>
        <w:sectPr w:rsidR="000B52FE">
          <w:type w:val="continuous"/>
          <w:pgSz w:w="11910" w:h="16160"/>
          <w:pgMar w:top="1520" w:right="0" w:bottom="280" w:left="520" w:header="720" w:footer="720" w:gutter="0"/>
          <w:cols w:num="2" w:space="720" w:equalWidth="0">
            <w:col w:w="5075" w:space="40"/>
            <w:col w:w="6275"/>
          </w:cols>
        </w:sectPr>
      </w:pPr>
    </w:p>
    <w:p w:rsidR="000B52FE" w:rsidRDefault="000B52FE" w:rsidP="000B52FE">
      <w:pPr>
        <w:pStyle w:val="a5"/>
        <w:rPr>
          <w:sz w:val="20"/>
        </w:rPr>
      </w:pPr>
    </w:p>
    <w:p w:rsidR="000B52FE" w:rsidRDefault="000B52FE" w:rsidP="000B52FE">
      <w:pPr>
        <w:pStyle w:val="a5"/>
        <w:spacing w:before="7"/>
        <w:rPr>
          <w:sz w:val="16"/>
        </w:rPr>
      </w:pPr>
    </w:p>
    <w:p w:rsidR="000B52FE" w:rsidRDefault="000B52FE" w:rsidP="000B52FE">
      <w:pPr>
        <w:rPr>
          <w:sz w:val="16"/>
        </w:rPr>
        <w:sectPr w:rsidR="000B52FE">
          <w:pgSz w:w="11910" w:h="16160"/>
          <w:pgMar w:top="1400" w:right="0" w:bottom="280" w:left="520" w:header="1067" w:footer="0" w:gutter="0"/>
          <w:cols w:space="720"/>
        </w:sectPr>
      </w:pPr>
    </w:p>
    <w:p w:rsidR="000B52FE" w:rsidRDefault="000B52FE" w:rsidP="000B52FE">
      <w:pPr>
        <w:pStyle w:val="a5"/>
        <w:spacing w:before="58" w:line="374" w:lineRule="auto"/>
        <w:ind w:left="1180" w:right="12"/>
        <w:jc w:val="both"/>
      </w:pPr>
      <w:r>
        <w:rPr>
          <w:color w:val="231F20"/>
        </w:rPr>
        <w:lastRenderedPageBreak/>
        <w:t>老保险的强制性不同，绝大部分国家对于个人养老金采用自愿参加的方式。个人拥有比较充分的自主权，主要体现在个人自主决定是否参加以及参与程度（缴费额度）、自主选择管理机构或产品以及自主决定待遇的领取方式等方面。</w:t>
      </w:r>
    </w:p>
    <w:p w:rsidR="000B52FE" w:rsidRDefault="000B52FE" w:rsidP="000B52FE">
      <w:pPr>
        <w:pStyle w:val="a5"/>
        <w:spacing w:before="1" w:line="374" w:lineRule="auto"/>
        <w:ind w:left="1180" w:firstLine="425"/>
        <w:jc w:val="both"/>
      </w:pPr>
      <w:r>
        <w:rPr>
          <w:color w:val="231F20"/>
        </w:rPr>
        <w:t>四是可投资范围广泛。从国际实践来看，第三支柱养老金可投资保险公司、基金公司、商业银行等提供的多类金融产品。比如美国的个人退休账户（</w:t>
      </w:r>
      <w:r>
        <w:rPr>
          <w:rFonts w:ascii="Times New Roman" w:eastAsia="Times New Roman"/>
          <w:color w:val="231F20"/>
        </w:rPr>
        <w:t>IRA</w:t>
      </w:r>
      <w:r>
        <w:rPr>
          <w:color w:val="231F20"/>
        </w:rPr>
        <w:t>）计划允许参加者在全市场范围选择金融产品，包括银行理财、共同基金、商业保险、股票等。投资者根据个人风险偏好选择适合自身的养老金融产品，收益自享，风险自担。</w:t>
      </w:r>
    </w:p>
    <w:p w:rsidR="000B52FE" w:rsidRDefault="000B52FE" w:rsidP="000B52FE">
      <w:pPr>
        <w:pStyle w:val="a5"/>
        <w:spacing w:before="3" w:line="374" w:lineRule="auto"/>
        <w:ind w:left="1180" w:right="12" w:firstLine="425"/>
        <w:jc w:val="both"/>
      </w:pPr>
      <w:r>
        <w:rPr>
          <w:color w:val="231F20"/>
        </w:rPr>
        <w:t>五是在一定条件下允许提前领取。部分国家允许个人在一定条件下提前领取第三支柱养老金，主要情形包括达到一定年龄或一定养老金计划参与期限，遭遇残疾、身患绝症、失业等特殊困难等。在一定条件下允许提前领取养老金，可以减轻参加者特别是收入不稳定人员对于参加养老金计划的顾虑， 同时通过相应的税收调节或者对提前领取收取一定费用等措施，可以促进其规范运作、引导长期积累。</w:t>
      </w:r>
    </w:p>
    <w:p w:rsidR="000B52FE" w:rsidRDefault="000B52FE" w:rsidP="000B52FE">
      <w:pPr>
        <w:pStyle w:val="a5"/>
        <w:rPr>
          <w:sz w:val="20"/>
        </w:rPr>
      </w:pPr>
    </w:p>
    <w:p w:rsidR="000B52FE" w:rsidRDefault="000B52FE" w:rsidP="000B52FE">
      <w:pPr>
        <w:pStyle w:val="a5"/>
        <w:spacing w:before="8"/>
        <w:rPr>
          <w:sz w:val="15"/>
        </w:rPr>
      </w:pPr>
    </w:p>
    <w:p w:rsidR="000B52FE" w:rsidRDefault="000B52FE" w:rsidP="000B52FE">
      <w:pPr>
        <w:spacing w:line="249" w:lineRule="auto"/>
        <w:ind w:left="1180" w:right="23" w:firstLine="464"/>
        <w:rPr>
          <w:sz w:val="28"/>
        </w:rPr>
      </w:pPr>
      <w:r>
        <w:rPr>
          <w:color w:val="0A376A"/>
          <w:sz w:val="28"/>
        </w:rPr>
        <w:t>二、我国第三支柱养老保险发展现状</w:t>
      </w:r>
    </w:p>
    <w:p w:rsidR="000B52FE" w:rsidRDefault="000B52FE" w:rsidP="000B52FE">
      <w:pPr>
        <w:pStyle w:val="a5"/>
        <w:spacing w:before="6"/>
        <w:rPr>
          <w:sz w:val="35"/>
        </w:rPr>
      </w:pPr>
    </w:p>
    <w:p w:rsidR="000B52FE" w:rsidRDefault="000B52FE" w:rsidP="000B52FE">
      <w:pPr>
        <w:pStyle w:val="a5"/>
        <w:spacing w:line="374" w:lineRule="auto"/>
        <w:ind w:left="1180" w:firstLine="425"/>
      </w:pPr>
      <w:r>
        <w:rPr>
          <w:color w:val="231F20"/>
        </w:rPr>
        <w:t>长期以来，我国养老保险体系建设的重心在第一支柱，第二支柱、第三支柱探索</w:t>
      </w:r>
    </w:p>
    <w:p w:rsidR="000B52FE" w:rsidRDefault="000B52FE" w:rsidP="000B52FE">
      <w:pPr>
        <w:pStyle w:val="a5"/>
        <w:spacing w:before="58" w:line="374" w:lineRule="auto"/>
        <w:ind w:left="388" w:right="1394"/>
        <w:jc w:val="both"/>
      </w:pPr>
      <w:r>
        <w:br w:type="column"/>
      </w:r>
      <w:r>
        <w:rPr>
          <w:color w:val="231F20"/>
        </w:rPr>
        <w:lastRenderedPageBreak/>
        <w:t>起步较晚，多层次养老保险体系发展还很不均衡。在推动发展第三支柱的过程中，个人税收</w:t>
      </w:r>
      <w:proofErr w:type="gramStart"/>
      <w:r>
        <w:rPr>
          <w:color w:val="231F20"/>
        </w:rPr>
        <w:t>递延型商业</w:t>
      </w:r>
      <w:proofErr w:type="gramEnd"/>
      <w:r>
        <w:rPr>
          <w:color w:val="231F20"/>
        </w:rPr>
        <w:t>养老保险（以下</w:t>
      </w:r>
      <w:proofErr w:type="gramStart"/>
      <w:r>
        <w:rPr>
          <w:color w:val="231F20"/>
        </w:rPr>
        <w:t>简称税延养老</w:t>
      </w:r>
      <w:proofErr w:type="gramEnd"/>
      <w:r>
        <w:rPr>
          <w:color w:val="231F20"/>
        </w:rPr>
        <w:t>险）是一项重要尝试。</w:t>
      </w:r>
      <w:r>
        <w:rPr>
          <w:rFonts w:ascii="Times New Roman" w:eastAsia="Times New Roman"/>
          <w:color w:val="231F20"/>
        </w:rPr>
        <w:t>2018</w:t>
      </w:r>
      <w:r>
        <w:rPr>
          <w:color w:val="231F20"/>
        </w:rPr>
        <w:t>年</w:t>
      </w:r>
      <w:r>
        <w:rPr>
          <w:rFonts w:ascii="Times New Roman" w:eastAsia="Times New Roman"/>
          <w:color w:val="231F20"/>
        </w:rPr>
        <w:t>5</w:t>
      </w:r>
      <w:r>
        <w:rPr>
          <w:color w:val="231F20"/>
        </w:rPr>
        <w:t>月</w:t>
      </w:r>
      <w:r>
        <w:rPr>
          <w:rFonts w:ascii="Times New Roman" w:eastAsia="Times New Roman"/>
          <w:color w:val="231F20"/>
        </w:rPr>
        <w:t>1</w:t>
      </w:r>
      <w:r>
        <w:rPr>
          <w:color w:val="231F20"/>
        </w:rPr>
        <w:t>日，我国在上海市、福建省（含厦门市）和苏州工业园区分别试点实施</w:t>
      </w:r>
      <w:proofErr w:type="gramStart"/>
      <w:r>
        <w:rPr>
          <w:color w:val="231F20"/>
        </w:rPr>
        <w:t>了税延养老</w:t>
      </w:r>
      <w:proofErr w:type="gramEnd"/>
      <w:r>
        <w:rPr>
          <w:color w:val="231F20"/>
        </w:rPr>
        <w:t>险政策，对试点地区个人通过个人商业养老资金账户购买符合规定的商业养老保险产品的支出，允许在一定标准内税前扣除；计入个人商业养老保险资金账户的投资收益，暂不征收个人所得税；个人领取商业养老金时再征收个人所得税。截至</w:t>
      </w:r>
      <w:r>
        <w:rPr>
          <w:rFonts w:ascii="Times New Roman" w:eastAsia="Times New Roman"/>
          <w:color w:val="231F20"/>
        </w:rPr>
        <w:t>2020</w:t>
      </w:r>
      <w:r>
        <w:rPr>
          <w:color w:val="231F20"/>
        </w:rPr>
        <w:t>年末，</w:t>
      </w:r>
      <w:proofErr w:type="gramStart"/>
      <w:r>
        <w:rPr>
          <w:color w:val="231F20"/>
        </w:rPr>
        <w:t>试点税延养老</w:t>
      </w:r>
      <w:proofErr w:type="gramEnd"/>
      <w:r>
        <w:rPr>
          <w:color w:val="231F20"/>
        </w:rPr>
        <w:t>险业务累计实现保费收入</w:t>
      </w:r>
      <w:r>
        <w:rPr>
          <w:rFonts w:ascii="Times New Roman" w:eastAsia="Times New Roman"/>
          <w:color w:val="231F20"/>
        </w:rPr>
        <w:t>4.3</w:t>
      </w:r>
      <w:r>
        <w:rPr>
          <w:color w:val="231F20"/>
        </w:rPr>
        <w:t>亿元，参保人数</w:t>
      </w:r>
      <w:r>
        <w:rPr>
          <w:rFonts w:ascii="Times New Roman" w:eastAsia="Times New Roman"/>
          <w:color w:val="231F20"/>
        </w:rPr>
        <w:t xml:space="preserve">4.9 </w:t>
      </w:r>
      <w:r>
        <w:rPr>
          <w:color w:val="231F20"/>
        </w:rPr>
        <w:t>万人，实际发展不及预期。从试点过程中各方面反映的情况看，以下几点值得关注和总结：</w:t>
      </w:r>
    </w:p>
    <w:p w:rsidR="000B52FE" w:rsidRDefault="000B52FE" w:rsidP="000B52FE">
      <w:pPr>
        <w:pStyle w:val="a5"/>
        <w:spacing w:before="4" w:line="374" w:lineRule="auto"/>
        <w:ind w:left="388" w:right="1404" w:firstLine="425"/>
        <w:jc w:val="both"/>
      </w:pPr>
      <w:r>
        <w:rPr>
          <w:color w:val="231F20"/>
        </w:rPr>
        <w:t>一是税收优惠的激励效果有限。首先， 与欧美等发达经济体以所得税等直接税为主体的税制结构相比，我国以增值税等间接税为主，个人所得税占税收总额比重较低，加上我国免征资本利得税，实施税收优惠的政策空间有限。其次，税收优惠力度较小，比如，对于税率在</w:t>
      </w:r>
      <w:r>
        <w:rPr>
          <w:rFonts w:ascii="Times New Roman" w:eastAsia="Times New Roman"/>
          <w:color w:val="231F20"/>
        </w:rPr>
        <w:t>10%</w:t>
      </w:r>
      <w:r>
        <w:rPr>
          <w:color w:val="231F20"/>
        </w:rPr>
        <w:t>这一档的纳税群体，</w:t>
      </w:r>
      <w:proofErr w:type="gramStart"/>
      <w:r>
        <w:rPr>
          <w:color w:val="231F20"/>
        </w:rPr>
        <w:t>参加税延</w:t>
      </w:r>
      <w:proofErr w:type="gramEnd"/>
      <w:r>
        <w:rPr>
          <w:color w:val="231F20"/>
        </w:rPr>
        <w:t>养老险每年最高仅可享受</w:t>
      </w:r>
      <w:r>
        <w:rPr>
          <w:rFonts w:ascii="Times New Roman" w:eastAsia="Times New Roman"/>
          <w:color w:val="231F20"/>
        </w:rPr>
        <w:t>1200</w:t>
      </w:r>
      <w:r>
        <w:rPr>
          <w:color w:val="231F20"/>
        </w:rPr>
        <w:t>元的个税优惠。同时，我国纳税人群规模有限，对于收入未达到个税起征点的群体，</w:t>
      </w:r>
      <w:proofErr w:type="gramStart"/>
      <w:r>
        <w:rPr>
          <w:color w:val="231F20"/>
        </w:rPr>
        <w:t>参加税延</w:t>
      </w:r>
      <w:proofErr w:type="gramEnd"/>
      <w:r>
        <w:rPr>
          <w:color w:val="231F20"/>
        </w:rPr>
        <w:t>养老险事实上无法享受税收优惠。</w:t>
      </w:r>
    </w:p>
    <w:p w:rsidR="000B52FE" w:rsidRDefault="000B52FE" w:rsidP="000B52FE">
      <w:pPr>
        <w:pStyle w:val="a5"/>
        <w:spacing w:before="1" w:line="376" w:lineRule="auto"/>
        <w:ind w:left="388" w:right="1390" w:firstLine="425"/>
        <w:jc w:val="both"/>
      </w:pPr>
      <w:r>
        <w:rPr>
          <w:color w:val="231F20"/>
        </w:rPr>
        <w:t>二是手续相对繁琐，削弱了投保积极性。税收优惠型保险在具体操作时涉及投保人工作单位、社保部门、税务部门、保险机</w:t>
      </w:r>
    </w:p>
    <w:p w:rsidR="000B52FE" w:rsidRDefault="000B52FE" w:rsidP="000B52FE">
      <w:pPr>
        <w:spacing w:line="376" w:lineRule="auto"/>
        <w:jc w:val="both"/>
        <w:sectPr w:rsidR="000B52FE">
          <w:type w:val="continuous"/>
          <w:pgSz w:w="11910" w:h="16160"/>
          <w:pgMar w:top="1520" w:right="0" w:bottom="280" w:left="520" w:header="720" w:footer="720" w:gutter="0"/>
          <w:cols w:num="2" w:space="720" w:equalWidth="0">
            <w:col w:w="5373" w:space="40"/>
            <w:col w:w="5977"/>
          </w:cols>
        </w:sectPr>
      </w:pPr>
    </w:p>
    <w:p w:rsidR="000B52FE" w:rsidRDefault="000B52FE" w:rsidP="000B52FE">
      <w:pPr>
        <w:pStyle w:val="a5"/>
        <w:rPr>
          <w:sz w:val="20"/>
        </w:rPr>
      </w:pPr>
    </w:p>
    <w:p w:rsidR="000B52FE" w:rsidRDefault="000B52FE" w:rsidP="000B52FE">
      <w:pPr>
        <w:pStyle w:val="a5"/>
        <w:spacing w:before="7"/>
        <w:rPr>
          <w:sz w:val="16"/>
        </w:rPr>
      </w:pPr>
    </w:p>
    <w:p w:rsidR="000B52FE" w:rsidRDefault="000B52FE" w:rsidP="000B52FE">
      <w:pPr>
        <w:rPr>
          <w:sz w:val="16"/>
        </w:rPr>
        <w:sectPr w:rsidR="000B52FE">
          <w:pgSz w:w="11910" w:h="16160"/>
          <w:pgMar w:top="1400" w:right="0" w:bottom="280" w:left="520" w:header="1067" w:footer="0" w:gutter="0"/>
          <w:cols w:space="720"/>
        </w:sectPr>
      </w:pPr>
    </w:p>
    <w:p w:rsidR="000B52FE" w:rsidRDefault="000B52FE" w:rsidP="000B52FE">
      <w:pPr>
        <w:pStyle w:val="a5"/>
        <w:spacing w:before="58" w:line="374" w:lineRule="auto"/>
        <w:ind w:left="897"/>
        <w:jc w:val="both"/>
      </w:pPr>
      <w:proofErr w:type="gramStart"/>
      <w:r>
        <w:rPr>
          <w:color w:val="231F20"/>
        </w:rPr>
        <w:lastRenderedPageBreak/>
        <w:t>构等多个</w:t>
      </w:r>
      <w:proofErr w:type="gramEnd"/>
      <w:r>
        <w:rPr>
          <w:color w:val="231F20"/>
        </w:rPr>
        <w:t>主体。在投保前，投保人需要到不同部门开具有关证明文件。在退税环节，由于我国目前采用的是“单位代扣代缴”的征税方式，程序较为烦琐，尤其对于未在职居民及自由职业者，退税难度较大，加之抵扣金额小，进一步削弱了个人投保的积极性。</w:t>
      </w:r>
    </w:p>
    <w:p w:rsidR="000B52FE" w:rsidRDefault="000B52FE" w:rsidP="000B52FE">
      <w:pPr>
        <w:pStyle w:val="a5"/>
        <w:spacing w:before="1" w:line="374" w:lineRule="auto"/>
        <w:ind w:left="897" w:firstLine="425"/>
        <w:jc w:val="both"/>
      </w:pPr>
      <w:r>
        <w:rPr>
          <w:color w:val="231F20"/>
        </w:rPr>
        <w:t>此外，</w:t>
      </w:r>
      <w:proofErr w:type="gramStart"/>
      <w:r>
        <w:rPr>
          <w:color w:val="231F20"/>
        </w:rPr>
        <w:t>税延养老险涉及</w:t>
      </w:r>
      <w:proofErr w:type="gramEnd"/>
      <w:r>
        <w:rPr>
          <w:color w:val="231F20"/>
        </w:rPr>
        <w:t>多个领域，影响因素多、产品设计和业务流程复杂，管理专业化要求高，加之试点阶段的政策限制，客观上导致了产品同质化现象，后续应研究根据消费者需求丰富产品供给。</w:t>
      </w:r>
    </w:p>
    <w:p w:rsidR="000B52FE" w:rsidRDefault="000B52FE" w:rsidP="000B52FE">
      <w:pPr>
        <w:pStyle w:val="a5"/>
        <w:rPr>
          <w:sz w:val="20"/>
        </w:rPr>
      </w:pPr>
    </w:p>
    <w:p w:rsidR="000B52FE" w:rsidRDefault="000B52FE" w:rsidP="000B52FE">
      <w:pPr>
        <w:pStyle w:val="a5"/>
        <w:spacing w:before="8"/>
        <w:rPr>
          <w:sz w:val="15"/>
        </w:rPr>
      </w:pPr>
    </w:p>
    <w:p w:rsidR="000B52FE" w:rsidRDefault="000B52FE" w:rsidP="000B52FE">
      <w:pPr>
        <w:spacing w:line="249" w:lineRule="auto"/>
        <w:ind w:left="897" w:right="8" w:firstLine="464"/>
        <w:rPr>
          <w:sz w:val="28"/>
        </w:rPr>
      </w:pPr>
      <w:r>
        <w:rPr>
          <w:color w:val="0A376A"/>
          <w:sz w:val="28"/>
        </w:rPr>
        <w:t>三、规范发展第三支柱养老保险的建议</w:t>
      </w:r>
    </w:p>
    <w:p w:rsidR="000B52FE" w:rsidRDefault="000B52FE" w:rsidP="000B52FE">
      <w:pPr>
        <w:pStyle w:val="a5"/>
        <w:spacing w:before="6"/>
        <w:rPr>
          <w:sz w:val="35"/>
        </w:rPr>
      </w:pPr>
    </w:p>
    <w:p w:rsidR="000B52FE" w:rsidRDefault="000B52FE" w:rsidP="000B52FE">
      <w:pPr>
        <w:pStyle w:val="a5"/>
        <w:spacing w:line="374" w:lineRule="auto"/>
        <w:ind w:left="897" w:firstLine="425"/>
        <w:jc w:val="both"/>
      </w:pPr>
      <w:r>
        <w:rPr>
          <w:color w:val="231F20"/>
        </w:rPr>
        <w:t>下一步，应结合</w:t>
      </w:r>
      <w:r>
        <w:rPr>
          <w:rFonts w:ascii="Times New Roman" w:eastAsia="Times New Roman"/>
          <w:color w:val="231F20"/>
        </w:rPr>
        <w:t>2018</w:t>
      </w:r>
      <w:r>
        <w:rPr>
          <w:color w:val="231F20"/>
        </w:rPr>
        <w:t>年</w:t>
      </w:r>
      <w:proofErr w:type="gramStart"/>
      <w:r>
        <w:rPr>
          <w:color w:val="231F20"/>
        </w:rPr>
        <w:t>税延养老险试点</w:t>
      </w:r>
      <w:proofErr w:type="gramEnd"/>
      <w:r>
        <w:rPr>
          <w:color w:val="231F20"/>
        </w:rPr>
        <w:t>工作的经验，推动建立以账户制为基础的个人养老金制度，账户封闭运行，用于缴费、</w:t>
      </w:r>
    </w:p>
    <w:p w:rsidR="000B52FE" w:rsidRDefault="000B52FE" w:rsidP="000B52FE">
      <w:pPr>
        <w:pStyle w:val="a5"/>
        <w:spacing w:before="58" w:line="374" w:lineRule="auto"/>
        <w:ind w:left="402" w:right="1677"/>
        <w:jc w:val="both"/>
      </w:pPr>
      <w:r>
        <w:br w:type="column"/>
      </w:r>
      <w:r>
        <w:rPr>
          <w:color w:val="231F20"/>
        </w:rPr>
        <w:lastRenderedPageBreak/>
        <w:t>归集投资收益、缴纳个人所得税等，参与人可在账户存续期内自主选择投资符合规定的金融产品，个人养老金原则上应于退休后领取，设计必要的提前领取制度。研究探索多种形式的激励政策，鼓励各类群体参与，引导长期积累。满足不同群体需求，有序扩大第三支柱投资的产品范围，将符合规定的银行理财、储蓄存款、商业养老保险、公</w:t>
      </w:r>
      <w:proofErr w:type="gramStart"/>
      <w:r>
        <w:rPr>
          <w:color w:val="231F20"/>
        </w:rPr>
        <w:t>募基金</w:t>
      </w:r>
      <w:proofErr w:type="gramEnd"/>
      <w:r>
        <w:rPr>
          <w:color w:val="231F20"/>
        </w:rPr>
        <w:t>等金融产品都纳入第三支柱投资范围。允许银行、基金、保险等各</w:t>
      </w:r>
      <w:proofErr w:type="gramStart"/>
      <w:r>
        <w:rPr>
          <w:color w:val="231F20"/>
        </w:rPr>
        <w:t>类具备</w:t>
      </w:r>
      <w:proofErr w:type="gramEnd"/>
      <w:r>
        <w:rPr>
          <w:color w:val="231F20"/>
        </w:rPr>
        <w:t>条件的金融机构发挥自身行业特点，为第三支柱提供合适的养老金融产品。同时，稳步推进商业养老金融改革发展，一方面，抓现有业务规范，正本清源，统一养老金融产品标准，清理名不符实的产品；另一方面，开展业务创新试点，发展真正具备养老功能的专业养老产品。</w:t>
      </w:r>
    </w:p>
    <w:p w:rsidR="000B52FE" w:rsidRDefault="000B52FE" w:rsidP="000B52FE">
      <w:pPr>
        <w:spacing w:line="374" w:lineRule="auto"/>
        <w:jc w:val="both"/>
        <w:sectPr w:rsidR="000B52FE">
          <w:type w:val="continuous"/>
          <w:pgSz w:w="11910" w:h="16160"/>
          <w:pgMar w:top="1520" w:right="0" w:bottom="280" w:left="520" w:header="720" w:footer="720" w:gutter="0"/>
          <w:cols w:num="2" w:space="720" w:equalWidth="0">
            <w:col w:w="5075" w:space="40"/>
            <w:col w:w="6275"/>
          </w:cols>
        </w:sectPr>
      </w:pPr>
    </w:p>
    <w:p w:rsidR="000B52FE" w:rsidRDefault="000B52FE" w:rsidP="000B52FE">
      <w:pPr>
        <w:pStyle w:val="a5"/>
        <w:rPr>
          <w:sz w:val="20"/>
        </w:rPr>
      </w:pPr>
    </w:p>
    <w:p w:rsidR="000B52FE" w:rsidRDefault="000B52FE" w:rsidP="000B52FE">
      <w:pPr>
        <w:pStyle w:val="a5"/>
        <w:rPr>
          <w:sz w:val="20"/>
        </w:rPr>
      </w:pPr>
    </w:p>
    <w:p w:rsidR="000B52FE" w:rsidRDefault="000B52FE" w:rsidP="000B52FE">
      <w:pPr>
        <w:pStyle w:val="a5"/>
        <w:rPr>
          <w:sz w:val="20"/>
        </w:rPr>
      </w:pPr>
    </w:p>
    <w:p w:rsidR="000B52FE" w:rsidRDefault="000B52FE" w:rsidP="000B52FE">
      <w:pPr>
        <w:pStyle w:val="a5"/>
        <w:rPr>
          <w:sz w:val="20"/>
        </w:rPr>
      </w:pPr>
    </w:p>
    <w:p w:rsidR="000B52FE" w:rsidRDefault="000B52FE" w:rsidP="000B52FE">
      <w:pPr>
        <w:tabs>
          <w:tab w:val="left" w:pos="1359"/>
        </w:tabs>
        <w:spacing w:before="228"/>
        <w:ind w:right="234"/>
        <w:jc w:val="center"/>
        <w:rPr>
          <w:sz w:val="34"/>
        </w:rPr>
      </w:pPr>
      <w:r>
        <w:rPr>
          <w:color w:val="0A376A"/>
          <w:sz w:val="34"/>
        </w:rPr>
        <w:t>专题四</w:t>
      </w:r>
      <w:r>
        <w:rPr>
          <w:color w:val="0A376A"/>
          <w:sz w:val="34"/>
        </w:rPr>
        <w:tab/>
        <w:t>国际基准利率改革的进展和中国实践</w:t>
      </w:r>
    </w:p>
    <w:p w:rsidR="000B52FE" w:rsidRDefault="000B52FE" w:rsidP="000B52FE">
      <w:pPr>
        <w:pStyle w:val="a5"/>
        <w:rPr>
          <w:sz w:val="20"/>
        </w:rPr>
      </w:pPr>
    </w:p>
    <w:p w:rsidR="000B52FE" w:rsidRDefault="000B52FE" w:rsidP="000B52FE">
      <w:pPr>
        <w:pStyle w:val="a5"/>
        <w:rPr>
          <w:sz w:val="20"/>
        </w:rPr>
      </w:pPr>
    </w:p>
    <w:p w:rsidR="000B52FE" w:rsidRDefault="000B52FE" w:rsidP="000B52FE">
      <w:pPr>
        <w:pStyle w:val="a5"/>
        <w:rPr>
          <w:sz w:val="19"/>
        </w:rPr>
      </w:pPr>
    </w:p>
    <w:p w:rsidR="000B52FE" w:rsidRDefault="000B52FE" w:rsidP="000B52FE">
      <w:pPr>
        <w:rPr>
          <w:sz w:val="19"/>
        </w:rPr>
        <w:sectPr w:rsidR="000B52FE">
          <w:pgSz w:w="11910" w:h="16160"/>
          <w:pgMar w:top="1400" w:right="0" w:bottom="280" w:left="520" w:header="1067" w:footer="0" w:gutter="0"/>
          <w:cols w:space="720"/>
        </w:sectPr>
      </w:pPr>
    </w:p>
    <w:p w:rsidR="000B52FE" w:rsidRDefault="000B52FE" w:rsidP="000B52FE">
      <w:pPr>
        <w:pStyle w:val="a5"/>
        <w:spacing w:before="77"/>
        <w:ind w:left="1605"/>
      </w:pPr>
      <w:r>
        <w:rPr>
          <w:color w:val="231F20"/>
        </w:rPr>
        <w:lastRenderedPageBreak/>
        <w:t>长期以来，伦敦银行间同业拆借利率</w:t>
      </w:r>
    </w:p>
    <w:p w:rsidR="000B52FE" w:rsidRDefault="000B52FE" w:rsidP="000B52FE">
      <w:pPr>
        <w:pStyle w:val="a5"/>
        <w:spacing w:before="151" w:line="374" w:lineRule="auto"/>
        <w:ind w:left="1180" w:right="12"/>
        <w:jc w:val="both"/>
      </w:pPr>
      <w:r>
        <w:rPr>
          <w:color w:val="231F20"/>
        </w:rPr>
        <w:t>（</w:t>
      </w:r>
      <w:r>
        <w:rPr>
          <w:rFonts w:ascii="Times New Roman" w:eastAsia="Times New Roman"/>
          <w:color w:val="231F20"/>
        </w:rPr>
        <w:t>LIBOR</w:t>
      </w:r>
      <w:r>
        <w:rPr>
          <w:color w:val="231F20"/>
        </w:rPr>
        <w:t>）是国际金融市场上运用最广的基准利率。近年来，受拆借市场萎缩以及多起报价</w:t>
      </w:r>
      <w:proofErr w:type="gramStart"/>
      <w:r>
        <w:rPr>
          <w:color w:val="231F20"/>
        </w:rPr>
        <w:t>操纵案</w:t>
      </w:r>
      <w:proofErr w:type="gramEnd"/>
      <w:r>
        <w:rPr>
          <w:color w:val="231F20"/>
        </w:rPr>
        <w:t>影响，</w:t>
      </w:r>
      <w:r>
        <w:rPr>
          <w:rFonts w:ascii="Times New Roman" w:eastAsia="Times New Roman"/>
          <w:color w:val="231F20"/>
        </w:rPr>
        <w:t>LIBOR</w:t>
      </w:r>
      <w:r>
        <w:rPr>
          <w:color w:val="231F20"/>
        </w:rPr>
        <w:t>的市场公信力被严重削弱，主要经济体和部分国际组织决定停止使用</w:t>
      </w:r>
      <w:r>
        <w:rPr>
          <w:rFonts w:ascii="Times New Roman" w:eastAsia="Times New Roman"/>
          <w:color w:val="231F20"/>
        </w:rPr>
        <w:t>LIBOR</w:t>
      </w:r>
      <w:r>
        <w:rPr>
          <w:color w:val="231F20"/>
        </w:rPr>
        <w:t>并积极推进基准利率改革。人民银行借鉴国际共识与最佳实践，积极参与国际基准利率改革，稳妥有序推动相关改革工作。</w:t>
      </w:r>
    </w:p>
    <w:p w:rsidR="000B52FE" w:rsidRDefault="000B52FE" w:rsidP="000B52FE">
      <w:pPr>
        <w:pStyle w:val="a5"/>
        <w:rPr>
          <w:sz w:val="20"/>
        </w:rPr>
      </w:pPr>
    </w:p>
    <w:p w:rsidR="000B52FE" w:rsidRDefault="000B52FE" w:rsidP="000B52FE">
      <w:pPr>
        <w:pStyle w:val="a5"/>
        <w:spacing w:before="8"/>
        <w:rPr>
          <w:sz w:val="15"/>
        </w:rPr>
      </w:pPr>
    </w:p>
    <w:p w:rsidR="000B52FE" w:rsidRDefault="000B52FE" w:rsidP="000B52FE">
      <w:pPr>
        <w:ind w:left="1645"/>
        <w:rPr>
          <w:sz w:val="28"/>
        </w:rPr>
      </w:pPr>
      <w:r>
        <w:rPr>
          <w:color w:val="0A376A"/>
          <w:sz w:val="28"/>
        </w:rPr>
        <w:t>一、国际基准利率改革背景</w:t>
      </w:r>
    </w:p>
    <w:p w:rsidR="000B52FE" w:rsidRDefault="000B52FE" w:rsidP="000B52FE">
      <w:pPr>
        <w:pStyle w:val="a5"/>
        <w:spacing w:before="7"/>
        <w:rPr>
          <w:sz w:val="36"/>
        </w:rPr>
      </w:pPr>
    </w:p>
    <w:p w:rsidR="000B52FE" w:rsidRDefault="000B52FE" w:rsidP="000B52FE">
      <w:pPr>
        <w:pStyle w:val="a5"/>
        <w:spacing w:line="374" w:lineRule="auto"/>
        <w:ind w:left="1180" w:right="12" w:firstLine="425"/>
        <w:jc w:val="both"/>
      </w:pPr>
      <w:r>
        <w:rPr>
          <w:rFonts w:ascii="Times New Roman" w:eastAsia="Times New Roman"/>
          <w:color w:val="231F20"/>
        </w:rPr>
        <w:t>2008</w:t>
      </w:r>
      <w:r>
        <w:rPr>
          <w:color w:val="231F20"/>
        </w:rPr>
        <w:t xml:space="preserve">年国际金融危机期间，银行间无抵押拆借市场急剧萎缩， </w:t>
      </w:r>
      <w:r>
        <w:rPr>
          <w:rFonts w:ascii="Times New Roman" w:eastAsia="Times New Roman"/>
          <w:color w:val="231F20"/>
        </w:rPr>
        <w:t>LIBOR</w:t>
      </w:r>
      <w:r>
        <w:rPr>
          <w:color w:val="231F20"/>
        </w:rPr>
        <w:t>走势与银行实际融资成本和市场流动性情况出现偏离，存在被操纵的嫌疑。经调查，多国监管机构发现报价行存在合谋操纵报价的行为。</w:t>
      </w:r>
      <w:r>
        <w:rPr>
          <w:rFonts w:ascii="Times New Roman" w:eastAsia="Times New Roman"/>
          <w:color w:val="231F20"/>
        </w:rPr>
        <w:t>2012</w:t>
      </w:r>
      <w:r>
        <w:rPr>
          <w:color w:val="231F20"/>
        </w:rPr>
        <w:t>年</w:t>
      </w:r>
      <w:r>
        <w:rPr>
          <w:rFonts w:ascii="Times New Roman" w:eastAsia="Times New Roman"/>
          <w:color w:val="231F20"/>
        </w:rPr>
        <w:t>6</w:t>
      </w:r>
      <w:r>
        <w:rPr>
          <w:color w:val="231F20"/>
        </w:rPr>
        <w:t>月，美国和英国的监管和司法部门认定巴克莱银行存在操纵和虚报的行为，后续多家金融机构受到牵连，接连受到处罚。</w:t>
      </w:r>
    </w:p>
    <w:p w:rsidR="000B52FE" w:rsidRDefault="000B52FE" w:rsidP="000B52FE">
      <w:pPr>
        <w:pStyle w:val="a5"/>
        <w:spacing w:before="2" w:line="374" w:lineRule="auto"/>
        <w:ind w:left="1180" w:right="12" w:firstLine="425"/>
        <w:jc w:val="both"/>
      </w:pPr>
      <w:r>
        <w:rPr>
          <w:color w:val="231F20"/>
        </w:rPr>
        <w:t>导致</w:t>
      </w:r>
      <w:r>
        <w:rPr>
          <w:rFonts w:ascii="Times New Roman" w:eastAsia="Times New Roman"/>
          <w:color w:val="231F20"/>
        </w:rPr>
        <w:t>LIBOR</w:t>
      </w:r>
      <w:r>
        <w:rPr>
          <w:color w:val="231F20"/>
        </w:rPr>
        <w:t>操纵丑闻的原因主要包括： 一是报价形成机制存在缺陷，未与实际交易挂钩，使</w:t>
      </w:r>
      <w:r>
        <w:rPr>
          <w:rFonts w:ascii="Times New Roman" w:eastAsia="Times New Roman"/>
          <w:color w:val="231F20"/>
        </w:rPr>
        <w:t>LIBOR</w:t>
      </w:r>
      <w:r>
        <w:rPr>
          <w:color w:val="231F20"/>
        </w:rPr>
        <w:t>容易被操纵；二是金融机构通过操纵</w:t>
      </w:r>
      <w:r>
        <w:rPr>
          <w:rFonts w:ascii="Times New Roman" w:eastAsia="Times New Roman"/>
          <w:color w:val="231F20"/>
        </w:rPr>
        <w:t>LIBOR</w:t>
      </w:r>
      <w:r>
        <w:rPr>
          <w:color w:val="231F20"/>
        </w:rPr>
        <w:t>报价，可从衍生品交易中获取巨额利润；三是相关金融监管缺失，纵容</w:t>
      </w:r>
    </w:p>
    <w:p w:rsidR="000B52FE" w:rsidRDefault="000B52FE" w:rsidP="000B52FE">
      <w:pPr>
        <w:pStyle w:val="a5"/>
        <w:spacing w:before="77" w:line="374" w:lineRule="auto"/>
        <w:ind w:left="388" w:right="1406"/>
        <w:jc w:val="both"/>
      </w:pPr>
      <w:r>
        <w:br w:type="column"/>
      </w:r>
      <w:r>
        <w:rPr>
          <w:color w:val="231F20"/>
          <w:spacing w:val="8"/>
        </w:rPr>
        <w:lastRenderedPageBreak/>
        <w:t>了银行操纵报价的行为。</w:t>
      </w:r>
      <w:r>
        <w:rPr>
          <w:rFonts w:ascii="Times New Roman" w:eastAsia="Times New Roman"/>
          <w:color w:val="231F20"/>
          <w:spacing w:val="8"/>
        </w:rPr>
        <w:t>LIBOR</w:t>
      </w:r>
      <w:r>
        <w:rPr>
          <w:color w:val="231F20"/>
          <w:spacing w:val="8"/>
        </w:rPr>
        <w:t>操纵丑闻严重损害了市场和公众对</w:t>
      </w:r>
      <w:r>
        <w:rPr>
          <w:rFonts w:ascii="Times New Roman" w:eastAsia="Times New Roman"/>
          <w:color w:val="231F20"/>
          <w:spacing w:val="8"/>
        </w:rPr>
        <w:t>LIBOR</w:t>
      </w:r>
      <w:r>
        <w:rPr>
          <w:color w:val="231F20"/>
          <w:spacing w:val="8"/>
        </w:rPr>
        <w:t>的信任，推动</w:t>
      </w:r>
      <w:r>
        <w:rPr>
          <w:color w:val="231F20"/>
        </w:rPr>
        <w:t>全球监管机构逐步开启国际基准利率改革。</w:t>
      </w:r>
    </w:p>
    <w:p w:rsidR="000B52FE" w:rsidRDefault="000B52FE" w:rsidP="000B52FE">
      <w:pPr>
        <w:pStyle w:val="a5"/>
        <w:spacing w:before="1" w:line="374" w:lineRule="auto"/>
        <w:ind w:left="388" w:right="1392" w:firstLine="425"/>
        <w:jc w:val="both"/>
      </w:pPr>
      <w:r>
        <w:rPr>
          <w:color w:val="231F20"/>
          <w:spacing w:val="22"/>
        </w:rPr>
        <w:t>为避免重蹈</w:t>
      </w:r>
      <w:r>
        <w:rPr>
          <w:rFonts w:ascii="Times New Roman" w:eastAsia="Times New Roman"/>
          <w:color w:val="231F20"/>
          <w:spacing w:val="22"/>
        </w:rPr>
        <w:t>LIBOR</w:t>
      </w:r>
      <w:r>
        <w:rPr>
          <w:color w:val="231F20"/>
          <w:spacing w:val="22"/>
        </w:rPr>
        <w:t>报价操纵覆辙，在</w:t>
      </w:r>
      <w:r>
        <w:rPr>
          <w:color w:val="231F20"/>
          <w:spacing w:val="11"/>
        </w:rPr>
        <w:t>金融稳定理事会（</w:t>
      </w:r>
      <w:r>
        <w:rPr>
          <w:rFonts w:ascii="Times New Roman" w:eastAsia="Times New Roman"/>
          <w:color w:val="231F20"/>
          <w:spacing w:val="11"/>
        </w:rPr>
        <w:t>FSB</w:t>
      </w:r>
      <w:r>
        <w:rPr>
          <w:color w:val="231F20"/>
          <w:spacing w:val="11"/>
        </w:rPr>
        <w:t>）的督促下，各国监</w:t>
      </w:r>
      <w:r>
        <w:rPr>
          <w:color w:val="231F20"/>
          <w:spacing w:val="8"/>
        </w:rPr>
        <w:t>管部门对</w:t>
      </w:r>
      <w:r>
        <w:rPr>
          <w:rFonts w:ascii="Times New Roman" w:eastAsia="Times New Roman"/>
          <w:color w:val="231F20"/>
          <w:spacing w:val="8"/>
        </w:rPr>
        <w:t>LIBOR</w:t>
      </w:r>
      <w:r>
        <w:rPr>
          <w:color w:val="231F20"/>
          <w:spacing w:val="8"/>
        </w:rPr>
        <w:t>及与之类似的银行间报价利</w:t>
      </w:r>
      <w:r>
        <w:rPr>
          <w:color w:val="231F20"/>
          <w:spacing w:val="16"/>
        </w:rPr>
        <w:t>率</w:t>
      </w:r>
      <w:r>
        <w:rPr>
          <w:color w:val="231F20"/>
          <w:spacing w:val="15"/>
        </w:rPr>
        <w:t>（</w:t>
      </w:r>
      <w:r>
        <w:rPr>
          <w:rFonts w:ascii="Times New Roman" w:eastAsia="Times New Roman"/>
          <w:color w:val="231F20"/>
          <w:spacing w:val="15"/>
        </w:rPr>
        <w:t>IBOR</w:t>
      </w:r>
      <w:r>
        <w:rPr>
          <w:color w:val="231F20"/>
          <w:spacing w:val="15"/>
        </w:rPr>
        <w:t>）</w:t>
      </w:r>
      <w:r>
        <w:rPr>
          <w:color w:val="231F20"/>
          <w:spacing w:val="14"/>
        </w:rPr>
        <w:t>进行了大刀阔斧的改革。但经</w:t>
      </w:r>
      <w:r>
        <w:rPr>
          <w:color w:val="231F20"/>
          <w:spacing w:val="8"/>
        </w:rPr>
        <w:t>过一系列改革后，</w:t>
      </w:r>
      <w:r>
        <w:rPr>
          <w:rFonts w:ascii="Times New Roman" w:eastAsia="Times New Roman"/>
          <w:color w:val="231F20"/>
          <w:spacing w:val="8"/>
        </w:rPr>
        <w:t>LIBOR</w:t>
      </w:r>
      <w:r>
        <w:rPr>
          <w:color w:val="231F20"/>
          <w:spacing w:val="8"/>
        </w:rPr>
        <w:t>仍难获得市场广泛</w:t>
      </w:r>
      <w:r>
        <w:rPr>
          <w:color w:val="231F20"/>
          <w:spacing w:val="9"/>
        </w:rPr>
        <w:t>认可，英国金融行为监管局（</w:t>
      </w:r>
      <w:r>
        <w:rPr>
          <w:rFonts w:ascii="Times New Roman" w:eastAsia="Times New Roman"/>
          <w:color w:val="231F20"/>
          <w:spacing w:val="9"/>
        </w:rPr>
        <w:t>FCA</w:t>
      </w:r>
      <w:r>
        <w:rPr>
          <w:color w:val="231F20"/>
          <w:spacing w:val="9"/>
        </w:rPr>
        <w:t>）决定自</w:t>
      </w:r>
      <w:r>
        <w:rPr>
          <w:rFonts w:ascii="Times New Roman" w:eastAsia="Times New Roman"/>
          <w:color w:val="231F20"/>
          <w:spacing w:val="15"/>
        </w:rPr>
        <w:t>2021</w:t>
      </w:r>
      <w:r>
        <w:rPr>
          <w:rFonts w:ascii="Times New Roman" w:eastAsia="Times New Roman"/>
          <w:color w:val="231F20"/>
          <w:spacing w:val="-33"/>
        </w:rPr>
        <w:t xml:space="preserve"> </w:t>
      </w:r>
      <w:r>
        <w:rPr>
          <w:color w:val="231F20"/>
          <w:spacing w:val="20"/>
        </w:rPr>
        <w:t>年底起，不再强制要求报价行进行报</w:t>
      </w:r>
      <w:r>
        <w:rPr>
          <w:color w:val="231F20"/>
          <w:spacing w:val="9"/>
        </w:rPr>
        <w:t>价，转而培育基于实际交易的基准利率。随</w:t>
      </w:r>
      <w:r>
        <w:rPr>
          <w:color w:val="231F20"/>
          <w:spacing w:val="8"/>
        </w:rPr>
        <w:t>后，其他使用</w:t>
      </w:r>
      <w:r>
        <w:rPr>
          <w:rFonts w:ascii="Times New Roman" w:eastAsia="Times New Roman"/>
          <w:color w:val="231F20"/>
          <w:spacing w:val="8"/>
        </w:rPr>
        <w:t>LIBOR</w:t>
      </w:r>
      <w:r>
        <w:rPr>
          <w:color w:val="231F20"/>
          <w:spacing w:val="8"/>
        </w:rPr>
        <w:t>作为基准利率的美国、</w:t>
      </w:r>
      <w:r>
        <w:rPr>
          <w:color w:val="231F20"/>
          <w:spacing w:val="9"/>
        </w:rPr>
        <w:t>欧元区、日本、瑞士等主要发达经济体，也</w:t>
      </w:r>
      <w:r>
        <w:rPr>
          <w:color w:val="231F20"/>
        </w:rPr>
        <w:t>开始研究退出</w:t>
      </w:r>
      <w:r>
        <w:rPr>
          <w:rFonts w:ascii="Times New Roman" w:eastAsia="Times New Roman"/>
          <w:color w:val="231F20"/>
        </w:rPr>
        <w:t>LIBOR</w:t>
      </w:r>
      <w:r>
        <w:rPr>
          <w:color w:val="231F20"/>
        </w:rPr>
        <w:t>和培育替代基准利率。</w:t>
      </w:r>
    </w:p>
    <w:p w:rsidR="000B52FE" w:rsidRDefault="000B52FE" w:rsidP="000B52FE">
      <w:pPr>
        <w:pStyle w:val="a5"/>
        <w:rPr>
          <w:sz w:val="22"/>
        </w:rPr>
      </w:pPr>
    </w:p>
    <w:p w:rsidR="000B52FE" w:rsidRDefault="000B52FE" w:rsidP="000B52FE">
      <w:pPr>
        <w:spacing w:before="175"/>
        <w:ind w:left="853"/>
        <w:rPr>
          <w:sz w:val="28"/>
        </w:rPr>
      </w:pPr>
      <w:r>
        <w:rPr>
          <w:color w:val="0A376A"/>
          <w:sz w:val="28"/>
        </w:rPr>
        <w:t>二、国际基准利率改革进展</w:t>
      </w:r>
    </w:p>
    <w:p w:rsidR="000B52FE" w:rsidRDefault="000B52FE" w:rsidP="000B52FE">
      <w:pPr>
        <w:pStyle w:val="a5"/>
        <w:rPr>
          <w:sz w:val="32"/>
        </w:rPr>
      </w:pPr>
    </w:p>
    <w:p w:rsidR="000B52FE" w:rsidRDefault="000B52FE" w:rsidP="000B52FE">
      <w:pPr>
        <w:pStyle w:val="3"/>
        <w:spacing w:before="220"/>
        <w:ind w:left="785"/>
      </w:pPr>
      <w:r>
        <w:rPr>
          <w:color w:val="231F20"/>
        </w:rPr>
        <w:t>（一）基本完成替代基准利率遴选</w:t>
      </w:r>
    </w:p>
    <w:p w:rsidR="000B52FE" w:rsidRDefault="000B52FE" w:rsidP="000B52FE">
      <w:pPr>
        <w:pStyle w:val="a5"/>
        <w:spacing w:before="9"/>
        <w:rPr>
          <w:sz w:val="22"/>
        </w:rPr>
      </w:pPr>
    </w:p>
    <w:p w:rsidR="000B52FE" w:rsidRDefault="000B52FE" w:rsidP="000B52FE">
      <w:pPr>
        <w:pStyle w:val="a5"/>
        <w:spacing w:line="374" w:lineRule="auto"/>
        <w:ind w:left="388" w:right="1404" w:firstLine="425"/>
        <w:jc w:val="both"/>
      </w:pPr>
      <w:r>
        <w:rPr>
          <w:color w:val="231F20"/>
        </w:rPr>
        <w:t>目前主要发达经济体已基本完成替代基准利率的遴选工作，墨西哥、巴西等新兴市场经济体也效仿英美等发达经济体研究推出新基准利率。这些经济体大都选择采用无风险基准利率（</w:t>
      </w:r>
      <w:r>
        <w:rPr>
          <w:rFonts w:ascii="Times New Roman" w:eastAsia="Times New Roman"/>
          <w:color w:val="231F20"/>
        </w:rPr>
        <w:t>RFRs</w:t>
      </w:r>
      <w:r>
        <w:rPr>
          <w:color w:val="231F20"/>
        </w:rPr>
        <w:t>）作为</w:t>
      </w:r>
      <w:r>
        <w:rPr>
          <w:rFonts w:ascii="Times New Roman" w:eastAsia="Times New Roman"/>
          <w:color w:val="231F20"/>
        </w:rPr>
        <w:t>IBOR</w:t>
      </w:r>
      <w:r>
        <w:rPr>
          <w:color w:val="231F20"/>
        </w:rPr>
        <w:t>类基准利率的替代。这些替代基准利率均基于实际交易生</w:t>
      </w:r>
    </w:p>
    <w:p w:rsidR="000B52FE" w:rsidRDefault="000B52FE" w:rsidP="000B52FE">
      <w:pPr>
        <w:spacing w:line="374" w:lineRule="auto"/>
        <w:jc w:val="both"/>
        <w:sectPr w:rsidR="000B52FE">
          <w:type w:val="continuous"/>
          <w:pgSz w:w="11910" w:h="16160"/>
          <w:pgMar w:top="1520" w:right="0" w:bottom="280" w:left="520" w:header="720" w:footer="720" w:gutter="0"/>
          <w:cols w:num="2" w:space="720" w:equalWidth="0">
            <w:col w:w="5373" w:space="40"/>
            <w:col w:w="5977"/>
          </w:cols>
        </w:sectPr>
      </w:pPr>
    </w:p>
    <w:p w:rsidR="000B52FE" w:rsidRDefault="000B52FE" w:rsidP="000B52FE">
      <w:pPr>
        <w:pStyle w:val="a5"/>
        <w:rPr>
          <w:sz w:val="20"/>
        </w:rPr>
      </w:pPr>
    </w:p>
    <w:p w:rsidR="000B52FE" w:rsidRDefault="000B52FE" w:rsidP="000B52FE">
      <w:pPr>
        <w:pStyle w:val="a5"/>
        <w:spacing w:before="7"/>
        <w:rPr>
          <w:sz w:val="16"/>
        </w:rPr>
      </w:pPr>
    </w:p>
    <w:p w:rsidR="000B52FE" w:rsidRDefault="000B52FE" w:rsidP="000B52FE">
      <w:pPr>
        <w:rPr>
          <w:sz w:val="16"/>
        </w:rPr>
        <w:sectPr w:rsidR="000B52FE">
          <w:pgSz w:w="11910" w:h="16160"/>
          <w:pgMar w:top="1400" w:right="0" w:bottom="280" w:left="520" w:header="1067" w:footer="0" w:gutter="0"/>
          <w:cols w:space="720"/>
        </w:sectPr>
      </w:pPr>
    </w:p>
    <w:p w:rsidR="000B52FE" w:rsidRDefault="000B52FE" w:rsidP="000B52FE">
      <w:pPr>
        <w:pStyle w:val="a5"/>
        <w:spacing w:before="58" w:line="374" w:lineRule="auto"/>
        <w:ind w:left="897"/>
      </w:pPr>
      <w:r>
        <w:rPr>
          <w:color w:val="231F20"/>
        </w:rPr>
        <w:lastRenderedPageBreak/>
        <w:t>成，为确保交易基础稳固，仅选取隔夜单一期限，交易主体样本也较为广泛。替代基准</w:t>
      </w:r>
    </w:p>
    <w:p w:rsidR="000B52FE" w:rsidRDefault="000B52FE" w:rsidP="000B52FE">
      <w:pPr>
        <w:pStyle w:val="a5"/>
        <w:spacing w:before="58" w:line="374" w:lineRule="auto"/>
        <w:ind w:left="402" w:right="1688"/>
      </w:pPr>
      <w:r>
        <w:br w:type="column"/>
      </w:r>
      <w:r>
        <w:rPr>
          <w:color w:val="231F20"/>
        </w:rPr>
        <w:lastRenderedPageBreak/>
        <w:t>利率多由中央银行直接负责监督管理，以增强其基准性和公信力。</w:t>
      </w:r>
    </w:p>
    <w:p w:rsidR="000B52FE" w:rsidRDefault="000B52FE" w:rsidP="000B52FE">
      <w:pPr>
        <w:spacing w:line="374" w:lineRule="auto"/>
        <w:sectPr w:rsidR="000B52FE">
          <w:type w:val="continuous"/>
          <w:pgSz w:w="11910" w:h="16160"/>
          <w:pgMar w:top="1520" w:right="0" w:bottom="280" w:left="520" w:header="720" w:footer="720" w:gutter="0"/>
          <w:cols w:num="2" w:space="720" w:equalWidth="0">
            <w:col w:w="5075" w:space="40"/>
            <w:col w:w="6275"/>
          </w:cols>
        </w:sectPr>
      </w:pPr>
    </w:p>
    <w:p w:rsidR="000B52FE" w:rsidRDefault="000B52FE" w:rsidP="000B52FE">
      <w:pPr>
        <w:pStyle w:val="a5"/>
        <w:spacing w:before="10"/>
        <w:rPr>
          <w:sz w:val="7"/>
        </w:rPr>
      </w:pPr>
    </w:p>
    <w:p w:rsidR="000B52FE" w:rsidRDefault="000B52FE" w:rsidP="000B52FE">
      <w:pPr>
        <w:tabs>
          <w:tab w:val="left" w:pos="4017"/>
        </w:tabs>
        <w:spacing w:before="82"/>
        <w:ind w:left="1305"/>
        <w:rPr>
          <w:sz w:val="21"/>
        </w:rPr>
      </w:pPr>
      <w:r>
        <w:rPr>
          <w:color w:val="0A376A"/>
          <w:sz w:val="21"/>
        </w:rPr>
        <w:t>表</w:t>
      </w:r>
      <w:r>
        <w:rPr>
          <w:rFonts w:ascii="Times New Roman" w:eastAsia="Times New Roman"/>
          <w:b/>
          <w:color w:val="0A376A"/>
          <w:sz w:val="21"/>
        </w:rPr>
        <w:t>1-2</w:t>
      </w:r>
      <w:r>
        <w:rPr>
          <w:rFonts w:ascii="Times New Roman" w:eastAsia="Times New Roman"/>
          <w:b/>
          <w:color w:val="0A376A"/>
          <w:sz w:val="21"/>
        </w:rPr>
        <w:tab/>
      </w:r>
      <w:r>
        <w:rPr>
          <w:color w:val="0A376A"/>
          <w:sz w:val="21"/>
        </w:rPr>
        <w:t>部分币种替代基准利率情况</w:t>
      </w:r>
    </w:p>
    <w:p w:rsidR="000B52FE" w:rsidRDefault="000B52FE" w:rsidP="000B52FE">
      <w:pPr>
        <w:pStyle w:val="a5"/>
        <w:spacing w:before="9"/>
        <w:rPr>
          <w:sz w:val="8"/>
        </w:rPr>
      </w:pPr>
    </w:p>
    <w:tbl>
      <w:tblPr>
        <w:tblStyle w:val="TableNormal"/>
        <w:tblW w:w="0" w:type="auto"/>
        <w:tblInd w:w="9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625"/>
        <w:gridCol w:w="1663"/>
        <w:gridCol w:w="1265"/>
        <w:gridCol w:w="1529"/>
        <w:gridCol w:w="1511"/>
        <w:gridCol w:w="1194"/>
      </w:tblGrid>
      <w:tr w:rsidR="000B52FE" w:rsidTr="00146536">
        <w:trPr>
          <w:trHeight w:val="340"/>
        </w:trPr>
        <w:tc>
          <w:tcPr>
            <w:tcW w:w="1625" w:type="dxa"/>
            <w:tcBorders>
              <w:left w:val="nil"/>
            </w:tcBorders>
            <w:shd w:val="clear" w:color="auto" w:fill="0A376A"/>
          </w:tcPr>
          <w:p w:rsidR="000B52FE" w:rsidRDefault="000B52FE" w:rsidP="00146536">
            <w:pPr>
              <w:pStyle w:val="TableParagraph"/>
              <w:spacing w:before="54"/>
              <w:ind w:left="162" w:right="157"/>
              <w:jc w:val="center"/>
              <w:rPr>
                <w:sz w:val="18"/>
              </w:rPr>
            </w:pPr>
            <w:proofErr w:type="spellStart"/>
            <w:r>
              <w:rPr>
                <w:color w:val="FFFFFF"/>
                <w:sz w:val="18"/>
              </w:rPr>
              <w:t>币种</w:t>
            </w:r>
            <w:proofErr w:type="spellEnd"/>
          </w:p>
        </w:tc>
        <w:tc>
          <w:tcPr>
            <w:tcW w:w="1663" w:type="dxa"/>
            <w:shd w:val="clear" w:color="auto" w:fill="0A376A"/>
          </w:tcPr>
          <w:p w:rsidR="000B52FE" w:rsidRDefault="000B52FE" w:rsidP="00146536">
            <w:pPr>
              <w:pStyle w:val="TableParagraph"/>
              <w:spacing w:before="54"/>
              <w:ind w:left="86" w:right="86"/>
              <w:jc w:val="center"/>
              <w:rPr>
                <w:sz w:val="18"/>
              </w:rPr>
            </w:pPr>
            <w:proofErr w:type="spellStart"/>
            <w:r>
              <w:rPr>
                <w:color w:val="FFFFFF"/>
                <w:sz w:val="18"/>
              </w:rPr>
              <w:t>美元</w:t>
            </w:r>
            <w:proofErr w:type="spellEnd"/>
          </w:p>
        </w:tc>
        <w:tc>
          <w:tcPr>
            <w:tcW w:w="1265" w:type="dxa"/>
            <w:shd w:val="clear" w:color="auto" w:fill="0A376A"/>
          </w:tcPr>
          <w:p w:rsidR="000B52FE" w:rsidRDefault="000B52FE" w:rsidP="00146536">
            <w:pPr>
              <w:pStyle w:val="TableParagraph"/>
              <w:spacing w:before="54"/>
              <w:ind w:left="157" w:right="157"/>
              <w:jc w:val="center"/>
              <w:rPr>
                <w:sz w:val="18"/>
              </w:rPr>
            </w:pPr>
            <w:proofErr w:type="spellStart"/>
            <w:r>
              <w:rPr>
                <w:color w:val="FFFFFF"/>
                <w:sz w:val="18"/>
              </w:rPr>
              <w:t>英镑</w:t>
            </w:r>
            <w:proofErr w:type="spellEnd"/>
          </w:p>
        </w:tc>
        <w:tc>
          <w:tcPr>
            <w:tcW w:w="1529" w:type="dxa"/>
            <w:shd w:val="clear" w:color="auto" w:fill="0A376A"/>
          </w:tcPr>
          <w:p w:rsidR="000B52FE" w:rsidRDefault="000B52FE" w:rsidP="00146536">
            <w:pPr>
              <w:pStyle w:val="TableParagraph"/>
              <w:spacing w:before="54"/>
              <w:ind w:left="199" w:right="199"/>
              <w:jc w:val="center"/>
              <w:rPr>
                <w:sz w:val="18"/>
              </w:rPr>
            </w:pPr>
            <w:proofErr w:type="spellStart"/>
            <w:r>
              <w:rPr>
                <w:color w:val="FFFFFF"/>
                <w:sz w:val="18"/>
              </w:rPr>
              <w:t>欧元</w:t>
            </w:r>
            <w:proofErr w:type="spellEnd"/>
          </w:p>
        </w:tc>
        <w:tc>
          <w:tcPr>
            <w:tcW w:w="1511" w:type="dxa"/>
            <w:shd w:val="clear" w:color="auto" w:fill="0A376A"/>
          </w:tcPr>
          <w:p w:rsidR="000B52FE" w:rsidRDefault="000B52FE" w:rsidP="00146536">
            <w:pPr>
              <w:pStyle w:val="TableParagraph"/>
              <w:spacing w:before="54"/>
              <w:ind w:left="100" w:right="100"/>
              <w:jc w:val="center"/>
              <w:rPr>
                <w:sz w:val="18"/>
              </w:rPr>
            </w:pPr>
            <w:proofErr w:type="spellStart"/>
            <w:r>
              <w:rPr>
                <w:color w:val="FFFFFF"/>
                <w:sz w:val="18"/>
              </w:rPr>
              <w:t>瑞士法郎</w:t>
            </w:r>
            <w:proofErr w:type="spellEnd"/>
          </w:p>
        </w:tc>
        <w:tc>
          <w:tcPr>
            <w:tcW w:w="1194" w:type="dxa"/>
            <w:tcBorders>
              <w:right w:val="nil"/>
            </w:tcBorders>
            <w:shd w:val="clear" w:color="auto" w:fill="0A376A"/>
          </w:tcPr>
          <w:p w:rsidR="000B52FE" w:rsidRDefault="000B52FE" w:rsidP="00146536">
            <w:pPr>
              <w:pStyle w:val="TableParagraph"/>
              <w:spacing w:before="54"/>
              <w:ind w:left="213" w:right="215"/>
              <w:jc w:val="center"/>
              <w:rPr>
                <w:sz w:val="18"/>
              </w:rPr>
            </w:pPr>
            <w:proofErr w:type="spellStart"/>
            <w:r>
              <w:rPr>
                <w:color w:val="FFFFFF"/>
                <w:sz w:val="18"/>
              </w:rPr>
              <w:t>日元</w:t>
            </w:r>
            <w:proofErr w:type="spellEnd"/>
          </w:p>
        </w:tc>
      </w:tr>
      <w:tr w:rsidR="000B52FE" w:rsidTr="00146536">
        <w:trPr>
          <w:trHeight w:val="340"/>
        </w:trPr>
        <w:tc>
          <w:tcPr>
            <w:tcW w:w="1625" w:type="dxa"/>
            <w:tcBorders>
              <w:left w:val="nil"/>
            </w:tcBorders>
            <w:shd w:val="clear" w:color="auto" w:fill="D4E3F5"/>
          </w:tcPr>
          <w:p w:rsidR="000B52FE" w:rsidRDefault="000B52FE" w:rsidP="00146536">
            <w:pPr>
              <w:pStyle w:val="TableParagraph"/>
              <w:spacing w:before="54"/>
              <w:ind w:left="162" w:right="157"/>
              <w:jc w:val="center"/>
              <w:rPr>
                <w:sz w:val="18"/>
              </w:rPr>
            </w:pPr>
            <w:proofErr w:type="spellStart"/>
            <w:r>
              <w:rPr>
                <w:color w:val="231F20"/>
                <w:sz w:val="18"/>
              </w:rPr>
              <w:t>替代基准利率</w:t>
            </w:r>
            <w:proofErr w:type="spellEnd"/>
          </w:p>
        </w:tc>
        <w:tc>
          <w:tcPr>
            <w:tcW w:w="1663" w:type="dxa"/>
            <w:shd w:val="clear" w:color="auto" w:fill="D4E3F5"/>
          </w:tcPr>
          <w:p w:rsidR="000B52FE" w:rsidRDefault="000B52FE" w:rsidP="00146536">
            <w:pPr>
              <w:pStyle w:val="TableParagraph"/>
              <w:spacing w:before="54"/>
              <w:ind w:left="86" w:right="86"/>
              <w:jc w:val="center"/>
              <w:rPr>
                <w:sz w:val="18"/>
              </w:rPr>
            </w:pPr>
            <w:r>
              <w:rPr>
                <w:color w:val="231F20"/>
                <w:w w:val="120"/>
                <w:sz w:val="18"/>
              </w:rPr>
              <w:t>SOFR</w:t>
            </w:r>
          </w:p>
        </w:tc>
        <w:tc>
          <w:tcPr>
            <w:tcW w:w="1265" w:type="dxa"/>
            <w:shd w:val="clear" w:color="auto" w:fill="D4E3F5"/>
          </w:tcPr>
          <w:p w:rsidR="000B52FE" w:rsidRDefault="000B52FE" w:rsidP="00146536">
            <w:pPr>
              <w:pStyle w:val="TableParagraph"/>
              <w:spacing w:before="54"/>
              <w:ind w:left="157" w:right="157"/>
              <w:jc w:val="center"/>
              <w:rPr>
                <w:sz w:val="18"/>
              </w:rPr>
            </w:pPr>
            <w:r>
              <w:rPr>
                <w:color w:val="231F20"/>
                <w:w w:val="115"/>
                <w:sz w:val="18"/>
              </w:rPr>
              <w:t>SONIA</w:t>
            </w:r>
          </w:p>
        </w:tc>
        <w:tc>
          <w:tcPr>
            <w:tcW w:w="1529" w:type="dxa"/>
            <w:shd w:val="clear" w:color="auto" w:fill="D4E3F5"/>
          </w:tcPr>
          <w:p w:rsidR="000B52FE" w:rsidRDefault="000B52FE" w:rsidP="00146536">
            <w:pPr>
              <w:pStyle w:val="TableParagraph"/>
              <w:spacing w:before="54"/>
              <w:ind w:left="199" w:right="199"/>
              <w:jc w:val="center"/>
              <w:rPr>
                <w:sz w:val="18"/>
              </w:rPr>
            </w:pPr>
            <w:r>
              <w:rPr>
                <w:color w:val="231F20"/>
                <w:w w:val="115"/>
                <w:sz w:val="18"/>
              </w:rPr>
              <w:t>ESTER</w:t>
            </w:r>
          </w:p>
        </w:tc>
        <w:tc>
          <w:tcPr>
            <w:tcW w:w="1511" w:type="dxa"/>
            <w:shd w:val="clear" w:color="auto" w:fill="D4E3F5"/>
          </w:tcPr>
          <w:p w:rsidR="000B52FE" w:rsidRDefault="000B52FE" w:rsidP="00146536">
            <w:pPr>
              <w:pStyle w:val="TableParagraph"/>
              <w:spacing w:before="54"/>
              <w:ind w:left="100" w:right="100"/>
              <w:jc w:val="center"/>
              <w:rPr>
                <w:sz w:val="18"/>
              </w:rPr>
            </w:pPr>
            <w:r>
              <w:rPr>
                <w:color w:val="231F20"/>
                <w:w w:val="125"/>
                <w:sz w:val="18"/>
              </w:rPr>
              <w:t>SARON</w:t>
            </w:r>
          </w:p>
        </w:tc>
        <w:tc>
          <w:tcPr>
            <w:tcW w:w="1194" w:type="dxa"/>
            <w:tcBorders>
              <w:right w:val="nil"/>
            </w:tcBorders>
            <w:shd w:val="clear" w:color="auto" w:fill="D4E3F5"/>
          </w:tcPr>
          <w:p w:rsidR="000B52FE" w:rsidRDefault="000B52FE" w:rsidP="00146536">
            <w:pPr>
              <w:pStyle w:val="TableParagraph"/>
              <w:spacing w:before="54"/>
              <w:ind w:left="213" w:right="215"/>
              <w:jc w:val="center"/>
              <w:rPr>
                <w:sz w:val="18"/>
              </w:rPr>
            </w:pPr>
            <w:r>
              <w:rPr>
                <w:color w:val="231F20"/>
                <w:w w:val="125"/>
                <w:sz w:val="18"/>
              </w:rPr>
              <w:t>TONA</w:t>
            </w:r>
          </w:p>
        </w:tc>
      </w:tr>
      <w:tr w:rsidR="000B52FE" w:rsidTr="00146536">
        <w:trPr>
          <w:trHeight w:val="340"/>
        </w:trPr>
        <w:tc>
          <w:tcPr>
            <w:tcW w:w="1625" w:type="dxa"/>
            <w:tcBorders>
              <w:left w:val="nil"/>
            </w:tcBorders>
            <w:shd w:val="clear" w:color="auto" w:fill="D4E3F5"/>
          </w:tcPr>
          <w:p w:rsidR="000B52FE" w:rsidRDefault="000B52FE" w:rsidP="00146536">
            <w:pPr>
              <w:pStyle w:val="TableParagraph"/>
              <w:spacing w:before="54"/>
              <w:ind w:left="162" w:right="157"/>
              <w:jc w:val="center"/>
              <w:rPr>
                <w:sz w:val="18"/>
              </w:rPr>
            </w:pPr>
            <w:proofErr w:type="spellStart"/>
            <w:r>
              <w:rPr>
                <w:color w:val="231F20"/>
                <w:sz w:val="18"/>
              </w:rPr>
              <w:t>管理机构</w:t>
            </w:r>
            <w:proofErr w:type="spellEnd"/>
          </w:p>
        </w:tc>
        <w:tc>
          <w:tcPr>
            <w:tcW w:w="1663" w:type="dxa"/>
            <w:shd w:val="clear" w:color="auto" w:fill="D4E3F5"/>
          </w:tcPr>
          <w:p w:rsidR="000B52FE" w:rsidRDefault="000B52FE" w:rsidP="00146536">
            <w:pPr>
              <w:pStyle w:val="TableParagraph"/>
              <w:spacing w:before="54"/>
              <w:ind w:left="86" w:right="86"/>
              <w:jc w:val="center"/>
              <w:rPr>
                <w:sz w:val="18"/>
              </w:rPr>
            </w:pPr>
            <w:proofErr w:type="spellStart"/>
            <w:r>
              <w:rPr>
                <w:color w:val="231F20"/>
                <w:sz w:val="18"/>
              </w:rPr>
              <w:t>纽约联邦储备银行</w:t>
            </w:r>
            <w:proofErr w:type="spellEnd"/>
          </w:p>
        </w:tc>
        <w:tc>
          <w:tcPr>
            <w:tcW w:w="1265" w:type="dxa"/>
            <w:shd w:val="clear" w:color="auto" w:fill="D4E3F5"/>
          </w:tcPr>
          <w:p w:rsidR="000B52FE" w:rsidRDefault="000B52FE" w:rsidP="00146536">
            <w:pPr>
              <w:pStyle w:val="TableParagraph"/>
              <w:spacing w:before="54"/>
              <w:ind w:left="157" w:right="157"/>
              <w:jc w:val="center"/>
              <w:rPr>
                <w:sz w:val="18"/>
              </w:rPr>
            </w:pPr>
            <w:proofErr w:type="spellStart"/>
            <w:r>
              <w:rPr>
                <w:color w:val="231F20"/>
                <w:sz w:val="18"/>
              </w:rPr>
              <w:t>英格兰银行</w:t>
            </w:r>
            <w:proofErr w:type="spellEnd"/>
          </w:p>
        </w:tc>
        <w:tc>
          <w:tcPr>
            <w:tcW w:w="1529" w:type="dxa"/>
            <w:shd w:val="clear" w:color="auto" w:fill="D4E3F5"/>
          </w:tcPr>
          <w:p w:rsidR="000B52FE" w:rsidRDefault="000B52FE" w:rsidP="00146536">
            <w:pPr>
              <w:pStyle w:val="TableParagraph"/>
              <w:spacing w:before="54"/>
              <w:ind w:left="199" w:right="199"/>
              <w:jc w:val="center"/>
              <w:rPr>
                <w:sz w:val="18"/>
              </w:rPr>
            </w:pPr>
            <w:proofErr w:type="spellStart"/>
            <w:r>
              <w:rPr>
                <w:color w:val="231F20"/>
                <w:sz w:val="18"/>
              </w:rPr>
              <w:t>欧洲中央银行</w:t>
            </w:r>
            <w:proofErr w:type="spellEnd"/>
          </w:p>
        </w:tc>
        <w:tc>
          <w:tcPr>
            <w:tcW w:w="1511" w:type="dxa"/>
            <w:shd w:val="clear" w:color="auto" w:fill="D4E3F5"/>
          </w:tcPr>
          <w:p w:rsidR="000B52FE" w:rsidRDefault="000B52FE" w:rsidP="00146536">
            <w:pPr>
              <w:pStyle w:val="TableParagraph"/>
              <w:spacing w:before="54"/>
              <w:ind w:left="100" w:right="100"/>
              <w:jc w:val="center"/>
              <w:rPr>
                <w:sz w:val="18"/>
              </w:rPr>
            </w:pPr>
            <w:proofErr w:type="spellStart"/>
            <w:r>
              <w:rPr>
                <w:color w:val="231F20"/>
                <w:sz w:val="18"/>
              </w:rPr>
              <w:t>瑞士证券交易所</w:t>
            </w:r>
            <w:proofErr w:type="spellEnd"/>
          </w:p>
        </w:tc>
        <w:tc>
          <w:tcPr>
            <w:tcW w:w="1194" w:type="dxa"/>
            <w:tcBorders>
              <w:right w:val="nil"/>
            </w:tcBorders>
            <w:shd w:val="clear" w:color="auto" w:fill="D4E3F5"/>
          </w:tcPr>
          <w:p w:rsidR="000B52FE" w:rsidRDefault="000B52FE" w:rsidP="00146536">
            <w:pPr>
              <w:pStyle w:val="TableParagraph"/>
              <w:spacing w:before="54"/>
              <w:ind w:left="213" w:right="215"/>
              <w:jc w:val="center"/>
              <w:rPr>
                <w:sz w:val="18"/>
              </w:rPr>
            </w:pPr>
            <w:proofErr w:type="spellStart"/>
            <w:r>
              <w:rPr>
                <w:color w:val="231F20"/>
                <w:sz w:val="18"/>
              </w:rPr>
              <w:t>日本银行</w:t>
            </w:r>
            <w:proofErr w:type="spellEnd"/>
          </w:p>
        </w:tc>
      </w:tr>
      <w:tr w:rsidR="000B52FE" w:rsidTr="00146536">
        <w:trPr>
          <w:trHeight w:val="340"/>
        </w:trPr>
        <w:tc>
          <w:tcPr>
            <w:tcW w:w="1625" w:type="dxa"/>
            <w:tcBorders>
              <w:left w:val="nil"/>
            </w:tcBorders>
            <w:shd w:val="clear" w:color="auto" w:fill="D4E3F5"/>
          </w:tcPr>
          <w:p w:rsidR="000B52FE" w:rsidRDefault="000B52FE" w:rsidP="00146536">
            <w:pPr>
              <w:pStyle w:val="TableParagraph"/>
              <w:spacing w:before="54"/>
              <w:ind w:left="162" w:right="157"/>
              <w:jc w:val="center"/>
              <w:rPr>
                <w:sz w:val="18"/>
              </w:rPr>
            </w:pPr>
            <w:proofErr w:type="spellStart"/>
            <w:r>
              <w:rPr>
                <w:color w:val="231F20"/>
                <w:sz w:val="18"/>
              </w:rPr>
              <w:t>是否有抵押品</w:t>
            </w:r>
            <w:proofErr w:type="spellEnd"/>
          </w:p>
        </w:tc>
        <w:tc>
          <w:tcPr>
            <w:tcW w:w="1663" w:type="dxa"/>
            <w:shd w:val="clear" w:color="auto" w:fill="D4E3F5"/>
          </w:tcPr>
          <w:p w:rsidR="000B52FE" w:rsidRDefault="000B52FE" w:rsidP="00146536">
            <w:pPr>
              <w:pStyle w:val="TableParagraph"/>
              <w:spacing w:before="54"/>
              <w:jc w:val="center"/>
              <w:rPr>
                <w:sz w:val="18"/>
              </w:rPr>
            </w:pPr>
            <w:r>
              <w:rPr>
                <w:color w:val="231F20"/>
                <w:sz w:val="18"/>
              </w:rPr>
              <w:t>是</w:t>
            </w:r>
          </w:p>
        </w:tc>
        <w:tc>
          <w:tcPr>
            <w:tcW w:w="1265" w:type="dxa"/>
            <w:shd w:val="clear" w:color="auto" w:fill="D4E3F5"/>
          </w:tcPr>
          <w:p w:rsidR="000B52FE" w:rsidRDefault="000B52FE" w:rsidP="00146536">
            <w:pPr>
              <w:pStyle w:val="TableParagraph"/>
              <w:spacing w:before="54"/>
              <w:jc w:val="center"/>
              <w:rPr>
                <w:sz w:val="18"/>
              </w:rPr>
            </w:pPr>
            <w:r>
              <w:rPr>
                <w:color w:val="231F20"/>
                <w:sz w:val="18"/>
              </w:rPr>
              <w:t>否</w:t>
            </w:r>
          </w:p>
        </w:tc>
        <w:tc>
          <w:tcPr>
            <w:tcW w:w="1529" w:type="dxa"/>
            <w:shd w:val="clear" w:color="auto" w:fill="D4E3F5"/>
          </w:tcPr>
          <w:p w:rsidR="000B52FE" w:rsidRDefault="000B52FE" w:rsidP="00146536">
            <w:pPr>
              <w:pStyle w:val="TableParagraph"/>
              <w:spacing w:before="54"/>
              <w:jc w:val="center"/>
              <w:rPr>
                <w:sz w:val="18"/>
              </w:rPr>
            </w:pPr>
            <w:r>
              <w:rPr>
                <w:color w:val="231F20"/>
                <w:sz w:val="18"/>
              </w:rPr>
              <w:t>否</w:t>
            </w:r>
          </w:p>
        </w:tc>
        <w:tc>
          <w:tcPr>
            <w:tcW w:w="1511" w:type="dxa"/>
            <w:shd w:val="clear" w:color="auto" w:fill="D4E3F5"/>
          </w:tcPr>
          <w:p w:rsidR="000B52FE" w:rsidRDefault="000B52FE" w:rsidP="00146536">
            <w:pPr>
              <w:pStyle w:val="TableParagraph"/>
              <w:spacing w:before="54"/>
              <w:jc w:val="center"/>
              <w:rPr>
                <w:sz w:val="18"/>
              </w:rPr>
            </w:pPr>
            <w:r>
              <w:rPr>
                <w:color w:val="231F20"/>
                <w:sz w:val="18"/>
              </w:rPr>
              <w:t>是</w:t>
            </w:r>
          </w:p>
        </w:tc>
        <w:tc>
          <w:tcPr>
            <w:tcW w:w="1194" w:type="dxa"/>
            <w:tcBorders>
              <w:right w:val="nil"/>
            </w:tcBorders>
            <w:shd w:val="clear" w:color="auto" w:fill="D4E3F5"/>
          </w:tcPr>
          <w:p w:rsidR="000B52FE" w:rsidRDefault="000B52FE" w:rsidP="00146536">
            <w:pPr>
              <w:pStyle w:val="TableParagraph"/>
              <w:spacing w:before="54"/>
              <w:ind w:right="2"/>
              <w:jc w:val="center"/>
              <w:rPr>
                <w:sz w:val="18"/>
              </w:rPr>
            </w:pPr>
            <w:r>
              <w:rPr>
                <w:color w:val="231F20"/>
                <w:sz w:val="18"/>
              </w:rPr>
              <w:t>否</w:t>
            </w:r>
          </w:p>
        </w:tc>
      </w:tr>
      <w:tr w:rsidR="000B52FE" w:rsidTr="00146536">
        <w:trPr>
          <w:trHeight w:val="340"/>
        </w:trPr>
        <w:tc>
          <w:tcPr>
            <w:tcW w:w="1625" w:type="dxa"/>
            <w:tcBorders>
              <w:left w:val="nil"/>
            </w:tcBorders>
            <w:shd w:val="clear" w:color="auto" w:fill="D4E3F5"/>
          </w:tcPr>
          <w:p w:rsidR="000B52FE" w:rsidRDefault="000B52FE" w:rsidP="00146536">
            <w:pPr>
              <w:pStyle w:val="TableParagraph"/>
              <w:spacing w:before="54"/>
              <w:ind w:left="162" w:right="157"/>
              <w:jc w:val="center"/>
              <w:rPr>
                <w:sz w:val="18"/>
              </w:rPr>
            </w:pPr>
            <w:proofErr w:type="spellStart"/>
            <w:r>
              <w:rPr>
                <w:color w:val="231F20"/>
                <w:sz w:val="18"/>
              </w:rPr>
              <w:t>是否为隔夜利率</w:t>
            </w:r>
            <w:proofErr w:type="spellEnd"/>
          </w:p>
        </w:tc>
        <w:tc>
          <w:tcPr>
            <w:tcW w:w="1663" w:type="dxa"/>
            <w:shd w:val="clear" w:color="auto" w:fill="D4E3F5"/>
          </w:tcPr>
          <w:p w:rsidR="000B52FE" w:rsidRDefault="000B52FE" w:rsidP="00146536">
            <w:pPr>
              <w:pStyle w:val="TableParagraph"/>
              <w:spacing w:before="54"/>
              <w:jc w:val="center"/>
              <w:rPr>
                <w:sz w:val="18"/>
              </w:rPr>
            </w:pPr>
            <w:r>
              <w:rPr>
                <w:color w:val="231F20"/>
                <w:sz w:val="18"/>
              </w:rPr>
              <w:t>是</w:t>
            </w:r>
          </w:p>
        </w:tc>
        <w:tc>
          <w:tcPr>
            <w:tcW w:w="1265" w:type="dxa"/>
            <w:shd w:val="clear" w:color="auto" w:fill="D4E3F5"/>
          </w:tcPr>
          <w:p w:rsidR="000B52FE" w:rsidRDefault="000B52FE" w:rsidP="00146536">
            <w:pPr>
              <w:pStyle w:val="TableParagraph"/>
              <w:spacing w:before="54"/>
              <w:jc w:val="center"/>
              <w:rPr>
                <w:sz w:val="18"/>
              </w:rPr>
            </w:pPr>
            <w:r>
              <w:rPr>
                <w:color w:val="231F20"/>
                <w:sz w:val="18"/>
              </w:rPr>
              <w:t>是</w:t>
            </w:r>
          </w:p>
        </w:tc>
        <w:tc>
          <w:tcPr>
            <w:tcW w:w="1529" w:type="dxa"/>
            <w:shd w:val="clear" w:color="auto" w:fill="D4E3F5"/>
          </w:tcPr>
          <w:p w:rsidR="000B52FE" w:rsidRDefault="000B52FE" w:rsidP="00146536">
            <w:pPr>
              <w:pStyle w:val="TableParagraph"/>
              <w:spacing w:before="54"/>
              <w:jc w:val="center"/>
              <w:rPr>
                <w:sz w:val="18"/>
              </w:rPr>
            </w:pPr>
            <w:r>
              <w:rPr>
                <w:color w:val="231F20"/>
                <w:sz w:val="18"/>
              </w:rPr>
              <w:t>是</w:t>
            </w:r>
          </w:p>
        </w:tc>
        <w:tc>
          <w:tcPr>
            <w:tcW w:w="1511" w:type="dxa"/>
            <w:shd w:val="clear" w:color="auto" w:fill="D4E3F5"/>
          </w:tcPr>
          <w:p w:rsidR="000B52FE" w:rsidRDefault="000B52FE" w:rsidP="00146536">
            <w:pPr>
              <w:pStyle w:val="TableParagraph"/>
              <w:spacing w:before="54"/>
              <w:jc w:val="center"/>
              <w:rPr>
                <w:sz w:val="18"/>
              </w:rPr>
            </w:pPr>
            <w:r>
              <w:rPr>
                <w:color w:val="231F20"/>
                <w:sz w:val="18"/>
              </w:rPr>
              <w:t>是</w:t>
            </w:r>
          </w:p>
        </w:tc>
        <w:tc>
          <w:tcPr>
            <w:tcW w:w="1194" w:type="dxa"/>
            <w:tcBorders>
              <w:right w:val="nil"/>
            </w:tcBorders>
            <w:shd w:val="clear" w:color="auto" w:fill="D4E3F5"/>
          </w:tcPr>
          <w:p w:rsidR="000B52FE" w:rsidRDefault="000B52FE" w:rsidP="00146536">
            <w:pPr>
              <w:pStyle w:val="TableParagraph"/>
              <w:spacing w:before="54"/>
              <w:ind w:right="2"/>
              <w:jc w:val="center"/>
              <w:rPr>
                <w:sz w:val="18"/>
              </w:rPr>
            </w:pPr>
            <w:r>
              <w:rPr>
                <w:color w:val="231F20"/>
                <w:sz w:val="18"/>
              </w:rPr>
              <w:t>是</w:t>
            </w:r>
          </w:p>
        </w:tc>
      </w:tr>
    </w:tbl>
    <w:p w:rsidR="000B52FE" w:rsidRDefault="000B52FE" w:rsidP="000B52FE">
      <w:pPr>
        <w:pStyle w:val="a5"/>
        <w:spacing w:before="9"/>
        <w:rPr>
          <w:sz w:val="22"/>
        </w:rPr>
      </w:pPr>
    </w:p>
    <w:p w:rsidR="000B52FE" w:rsidRDefault="000B52FE" w:rsidP="000B52FE">
      <w:pPr>
        <w:sectPr w:rsidR="000B52FE">
          <w:type w:val="continuous"/>
          <w:pgSz w:w="11910" w:h="16160"/>
          <w:pgMar w:top="1520" w:right="0" w:bottom="280" w:left="520" w:header="720" w:footer="720" w:gutter="0"/>
          <w:cols w:space="720"/>
        </w:sectPr>
      </w:pPr>
    </w:p>
    <w:p w:rsidR="000B52FE" w:rsidRDefault="000B52FE" w:rsidP="000B52FE">
      <w:pPr>
        <w:pStyle w:val="a5"/>
        <w:spacing w:before="61" w:line="374" w:lineRule="auto"/>
        <w:ind w:left="897" w:right="17" w:firstLine="425"/>
        <w:jc w:val="both"/>
      </w:pPr>
      <w:r>
        <w:rPr>
          <w:color w:val="231F20"/>
        </w:rPr>
        <w:lastRenderedPageBreak/>
        <w:t>主要发达经济体推进基准利率改革主要有两种模式。一种是采用</w:t>
      </w:r>
      <w:r>
        <w:rPr>
          <w:rFonts w:ascii="Times New Roman" w:eastAsia="Times New Roman"/>
          <w:color w:val="231F20"/>
        </w:rPr>
        <w:t>RFRs</w:t>
      </w:r>
      <w:r>
        <w:rPr>
          <w:color w:val="231F20"/>
        </w:rPr>
        <w:t>完全替代</w:t>
      </w:r>
      <w:r>
        <w:rPr>
          <w:rFonts w:ascii="Times New Roman" w:eastAsia="Times New Roman"/>
          <w:color w:val="231F20"/>
        </w:rPr>
        <w:t xml:space="preserve">IBOR </w:t>
      </w:r>
      <w:r>
        <w:rPr>
          <w:color w:val="231F20"/>
        </w:rPr>
        <w:t>类基准利率，如美国和英国；另一种则是在引入</w:t>
      </w:r>
      <w:r>
        <w:rPr>
          <w:rFonts w:ascii="Times New Roman" w:eastAsia="Times New Roman"/>
          <w:color w:val="231F20"/>
        </w:rPr>
        <w:t>RFRs</w:t>
      </w:r>
      <w:r>
        <w:rPr>
          <w:color w:val="231F20"/>
        </w:rPr>
        <w:t>的同时，允许多个基准利率并存， 如欧元区和日本。</w:t>
      </w:r>
    </w:p>
    <w:p w:rsidR="000B52FE" w:rsidRDefault="000B52FE" w:rsidP="000B52FE">
      <w:pPr>
        <w:pStyle w:val="3"/>
        <w:spacing w:before="163" w:line="328" w:lineRule="auto"/>
        <w:ind w:firstLine="396"/>
      </w:pPr>
      <w:r>
        <w:rPr>
          <w:color w:val="231F20"/>
        </w:rPr>
        <w:t>（二）研究探索各期限利率构建方法</w:t>
      </w:r>
    </w:p>
    <w:p w:rsidR="000B52FE" w:rsidRDefault="000B52FE" w:rsidP="000B52FE">
      <w:pPr>
        <w:pStyle w:val="a5"/>
        <w:spacing w:before="176" w:line="374" w:lineRule="auto"/>
        <w:ind w:left="897" w:right="3" w:firstLine="425"/>
        <w:jc w:val="both"/>
      </w:pPr>
      <w:r>
        <w:rPr>
          <w:color w:val="231F20"/>
        </w:rPr>
        <w:t>国际基准利率改革的一个重大挑战是构建各期限利率。替代</w:t>
      </w:r>
      <w:r>
        <w:rPr>
          <w:rFonts w:ascii="Times New Roman" w:eastAsia="Times New Roman"/>
          <w:color w:val="231F20"/>
        </w:rPr>
        <w:t>IBOR</w:t>
      </w:r>
      <w:r>
        <w:rPr>
          <w:color w:val="231F20"/>
        </w:rPr>
        <w:t>的</w:t>
      </w:r>
      <w:r>
        <w:rPr>
          <w:rFonts w:ascii="Times New Roman" w:eastAsia="Times New Roman"/>
          <w:color w:val="231F20"/>
        </w:rPr>
        <w:t>RFRs</w:t>
      </w:r>
      <w:r>
        <w:rPr>
          <w:color w:val="231F20"/>
        </w:rPr>
        <w:t>均为隔夜利率，但市场对其他期限的参考利率也有较大需求，需要研究以隔夜基准利率为基础构建各期限利率。美国替代基准利率委员会</w:t>
      </w:r>
    </w:p>
    <w:p w:rsidR="000B52FE" w:rsidRDefault="000B52FE" w:rsidP="000B52FE">
      <w:pPr>
        <w:pStyle w:val="a5"/>
        <w:spacing w:before="1" w:line="374" w:lineRule="auto"/>
        <w:ind w:left="897" w:right="11"/>
        <w:jc w:val="both"/>
      </w:pPr>
      <w:r>
        <w:rPr>
          <w:color w:val="231F20"/>
        </w:rPr>
        <w:t>（</w:t>
      </w:r>
      <w:r>
        <w:rPr>
          <w:rFonts w:ascii="Times New Roman" w:eastAsia="Times New Roman"/>
          <w:color w:val="231F20"/>
        </w:rPr>
        <w:t>ARRC</w:t>
      </w:r>
      <w:r>
        <w:rPr>
          <w:color w:val="231F20"/>
        </w:rPr>
        <w:t>）等基准利率改革机构研究提出了后顾法、前瞻法两种构建方法。后顾法是指以过去一段时间内已经实现的</w:t>
      </w:r>
      <w:r>
        <w:rPr>
          <w:rFonts w:ascii="Times New Roman" w:eastAsia="Times New Roman"/>
          <w:color w:val="231F20"/>
        </w:rPr>
        <w:t>RFRs</w:t>
      </w:r>
      <w:r>
        <w:rPr>
          <w:color w:val="231F20"/>
        </w:rPr>
        <w:t>为基础，进行单利或复利滚动计算各期限利率的方法， 实质上是</w:t>
      </w:r>
      <w:r>
        <w:rPr>
          <w:rFonts w:ascii="Times New Roman" w:eastAsia="Times New Roman"/>
          <w:color w:val="231F20"/>
        </w:rPr>
        <w:t>RFRs</w:t>
      </w:r>
      <w:r>
        <w:rPr>
          <w:color w:val="231F20"/>
        </w:rPr>
        <w:t>历史数据的单利或复利值。前瞻法是指以</w:t>
      </w:r>
      <w:r>
        <w:rPr>
          <w:rFonts w:ascii="Times New Roman" w:eastAsia="Times New Roman"/>
          <w:color w:val="231F20"/>
        </w:rPr>
        <w:t>RFRs</w:t>
      </w:r>
      <w:r>
        <w:rPr>
          <w:color w:val="231F20"/>
        </w:rPr>
        <w:t>的隔夜指数掉期（</w:t>
      </w:r>
      <w:r>
        <w:rPr>
          <w:rFonts w:ascii="Times New Roman" w:eastAsia="Times New Roman"/>
          <w:color w:val="231F20"/>
        </w:rPr>
        <w:t>OIS</w:t>
      </w:r>
      <w:r>
        <w:rPr>
          <w:color w:val="231F20"/>
        </w:rPr>
        <w:t>） 或期货等衍生品交易为基础计算各期限利率的方法，实质上体现的是对未来一段时间内</w:t>
      </w:r>
      <w:r>
        <w:rPr>
          <w:rFonts w:ascii="Times New Roman" w:eastAsia="Times New Roman"/>
          <w:color w:val="231F20"/>
        </w:rPr>
        <w:t>RFRs</w:t>
      </w:r>
      <w:r>
        <w:rPr>
          <w:color w:val="231F20"/>
        </w:rPr>
        <w:t>均值的预期。</w:t>
      </w:r>
    </w:p>
    <w:p w:rsidR="000B52FE" w:rsidRDefault="000B52FE" w:rsidP="000B52FE">
      <w:pPr>
        <w:pStyle w:val="3"/>
        <w:spacing w:before="52"/>
        <w:ind w:left="780"/>
      </w:pPr>
      <w:r>
        <w:br w:type="column"/>
      </w:r>
      <w:r>
        <w:rPr>
          <w:color w:val="231F20"/>
        </w:rPr>
        <w:lastRenderedPageBreak/>
        <w:t>（三）积极推进基准利率转换</w:t>
      </w:r>
    </w:p>
    <w:p w:rsidR="000B52FE" w:rsidRDefault="000B52FE" w:rsidP="000B52FE">
      <w:pPr>
        <w:pStyle w:val="a5"/>
        <w:spacing w:before="10"/>
        <w:rPr>
          <w:sz w:val="22"/>
        </w:rPr>
      </w:pPr>
    </w:p>
    <w:p w:rsidR="000B52FE" w:rsidRDefault="000B52FE" w:rsidP="000B52FE">
      <w:pPr>
        <w:pStyle w:val="a5"/>
        <w:spacing w:line="374" w:lineRule="auto"/>
        <w:ind w:left="383" w:right="1688" w:firstLine="425"/>
        <w:jc w:val="both"/>
      </w:pPr>
      <w:r>
        <w:rPr>
          <w:color w:val="231F20"/>
        </w:rPr>
        <w:t>推动金融合约基准利率由</w:t>
      </w:r>
      <w:r>
        <w:rPr>
          <w:rFonts w:ascii="Times New Roman" w:eastAsia="Times New Roman"/>
          <w:color w:val="231F20"/>
        </w:rPr>
        <w:t>IBOR</w:t>
      </w:r>
      <w:r>
        <w:rPr>
          <w:color w:val="231F20"/>
        </w:rPr>
        <w:t>转换为新的替代基准利率，是国际基准利率改革的另一个重大挑战。多个国际组织在各自领域积极推动国际基准利率转换有关工作。</w:t>
      </w:r>
    </w:p>
    <w:p w:rsidR="000B52FE" w:rsidRDefault="000B52FE" w:rsidP="000B52FE">
      <w:pPr>
        <w:pStyle w:val="a5"/>
        <w:spacing w:before="1" w:line="374" w:lineRule="auto"/>
        <w:ind w:left="383" w:right="1688" w:firstLine="425"/>
        <w:jc w:val="both"/>
      </w:pPr>
      <w:r>
        <w:rPr>
          <w:color w:val="231F20"/>
        </w:rPr>
        <w:t>一是国际掉期与衍生工具协会（</w:t>
      </w:r>
      <w:r>
        <w:rPr>
          <w:rFonts w:ascii="Times New Roman" w:eastAsia="Times New Roman"/>
          <w:color w:val="231F20"/>
        </w:rPr>
        <w:t>ISDA</w:t>
      </w:r>
      <w:r>
        <w:rPr>
          <w:color w:val="231F20"/>
        </w:rPr>
        <w:t>） 基本确定衍生品合约基准转换方案。经过多轮征求意见，</w:t>
      </w:r>
      <w:r>
        <w:rPr>
          <w:rFonts w:ascii="Times New Roman" w:eastAsia="Times New Roman"/>
          <w:color w:val="231F20"/>
        </w:rPr>
        <w:t>ISDA</w:t>
      </w:r>
      <w:r>
        <w:rPr>
          <w:color w:val="231F20"/>
        </w:rPr>
        <w:t>明确了包含后备利率、溢价调整、触发事件、转换时点和适用范围等要素的具体方案。按新老划断原则，新签合约适用新添加的</w:t>
      </w:r>
      <w:r>
        <w:rPr>
          <w:rFonts w:ascii="Times New Roman" w:eastAsia="Times New Roman"/>
          <w:color w:val="231F20"/>
        </w:rPr>
        <w:t>ISDA</w:t>
      </w:r>
      <w:r>
        <w:rPr>
          <w:color w:val="231F20"/>
        </w:rPr>
        <w:t>定义（</w:t>
      </w:r>
      <w:r>
        <w:rPr>
          <w:rFonts w:ascii="Times New Roman" w:eastAsia="Times New Roman"/>
          <w:color w:val="231F20"/>
        </w:rPr>
        <w:t>2006</w:t>
      </w:r>
      <w:r>
        <w:rPr>
          <w:color w:val="231F20"/>
        </w:rPr>
        <w:t>版）修订文件；存量合约需补充签订</w:t>
      </w:r>
      <w:r>
        <w:rPr>
          <w:rFonts w:ascii="Times New Roman" w:eastAsia="Times New Roman"/>
          <w:color w:val="231F20"/>
        </w:rPr>
        <w:t>2020</w:t>
      </w:r>
      <w:r>
        <w:rPr>
          <w:color w:val="231F20"/>
        </w:rPr>
        <w:t>版</w:t>
      </w:r>
      <w:r>
        <w:rPr>
          <w:rFonts w:ascii="Times New Roman" w:eastAsia="Times New Roman"/>
          <w:color w:val="231F20"/>
        </w:rPr>
        <w:t>ISDA</w:t>
      </w:r>
      <w:r>
        <w:rPr>
          <w:color w:val="231F20"/>
        </w:rPr>
        <w:t>后备条款多边协议。</w:t>
      </w:r>
    </w:p>
    <w:p w:rsidR="000B52FE" w:rsidRDefault="000B52FE" w:rsidP="000B52FE">
      <w:pPr>
        <w:pStyle w:val="a5"/>
        <w:spacing w:before="2" w:line="374" w:lineRule="auto"/>
        <w:ind w:left="383" w:right="1673" w:firstLine="425"/>
        <w:jc w:val="both"/>
      </w:pPr>
      <w:r>
        <w:rPr>
          <w:color w:val="231F20"/>
        </w:rPr>
        <w:t xml:space="preserve">二是部分经济体拟定了现货新签合约转换方案。美国的现货基准转换进展较快， </w:t>
      </w:r>
      <w:r>
        <w:rPr>
          <w:rFonts w:ascii="Times New Roman" w:eastAsia="Times New Roman"/>
          <w:color w:val="231F20"/>
        </w:rPr>
        <w:t>ARRC</w:t>
      </w:r>
      <w:r>
        <w:rPr>
          <w:color w:val="231F20"/>
        </w:rPr>
        <w:t>现已拟定新签订</w:t>
      </w:r>
      <w:r>
        <w:rPr>
          <w:rFonts w:ascii="Times New Roman" w:eastAsia="Times New Roman"/>
          <w:color w:val="231F20"/>
        </w:rPr>
        <w:t>LIBOR</w:t>
      </w:r>
      <w:r>
        <w:rPr>
          <w:color w:val="231F20"/>
        </w:rPr>
        <w:t>浮息债、双边贷款、银团贷款、可调利率住房贷款、资产证券化产品等基准转换后备条款。但目前方案主要适用于新签合约，存量合约拟通过立法统一转换或推出合成</w:t>
      </w:r>
      <w:r>
        <w:rPr>
          <w:rFonts w:ascii="Times New Roman" w:eastAsia="Times New Roman"/>
          <w:color w:val="231F20"/>
        </w:rPr>
        <w:t>LIBOR</w:t>
      </w:r>
      <w:r>
        <w:rPr>
          <w:color w:val="231F20"/>
        </w:rPr>
        <w:t>等方式进行转换。</w:t>
      </w:r>
    </w:p>
    <w:p w:rsidR="000B52FE" w:rsidRDefault="000B52FE" w:rsidP="000B52FE">
      <w:pPr>
        <w:spacing w:line="374" w:lineRule="auto"/>
        <w:jc w:val="both"/>
        <w:sectPr w:rsidR="000B52FE">
          <w:type w:val="continuous"/>
          <w:pgSz w:w="11910" w:h="16160"/>
          <w:pgMar w:top="1520" w:right="0" w:bottom="280" w:left="520" w:header="720" w:footer="720" w:gutter="0"/>
          <w:cols w:num="2" w:space="720" w:equalWidth="0">
            <w:col w:w="5095" w:space="40"/>
            <w:col w:w="6255"/>
          </w:cols>
        </w:sectPr>
      </w:pPr>
    </w:p>
    <w:p w:rsidR="000B52FE" w:rsidRDefault="000B52FE" w:rsidP="000B52FE">
      <w:pPr>
        <w:pStyle w:val="a5"/>
        <w:rPr>
          <w:sz w:val="20"/>
        </w:rPr>
      </w:pPr>
    </w:p>
    <w:p w:rsidR="000B52FE" w:rsidRDefault="000B52FE" w:rsidP="000B52FE">
      <w:pPr>
        <w:pStyle w:val="a5"/>
        <w:rPr>
          <w:sz w:val="15"/>
        </w:rPr>
      </w:pPr>
    </w:p>
    <w:p w:rsidR="000B52FE" w:rsidRDefault="000B52FE" w:rsidP="000B52FE">
      <w:pPr>
        <w:rPr>
          <w:sz w:val="15"/>
        </w:rPr>
        <w:sectPr w:rsidR="000B52FE">
          <w:pgSz w:w="11910" w:h="16160"/>
          <w:pgMar w:top="1400" w:right="0" w:bottom="280" w:left="520" w:header="1067" w:footer="0" w:gutter="0"/>
          <w:cols w:space="720"/>
        </w:sectPr>
      </w:pPr>
    </w:p>
    <w:p w:rsidR="000B52FE" w:rsidRDefault="000B52FE" w:rsidP="000B52FE">
      <w:pPr>
        <w:pStyle w:val="a5"/>
        <w:spacing w:before="78" w:line="374" w:lineRule="auto"/>
        <w:ind w:left="1180" w:firstLine="425"/>
        <w:jc w:val="both"/>
      </w:pPr>
      <w:r>
        <w:rPr>
          <w:color w:val="231F20"/>
        </w:rPr>
        <w:lastRenderedPageBreak/>
        <w:t>三是国际会计准则理事会（</w:t>
      </w:r>
      <w:r>
        <w:rPr>
          <w:rFonts w:ascii="Times New Roman" w:eastAsia="Times New Roman" w:hAnsi="Times New Roman"/>
          <w:color w:val="231F20"/>
        </w:rPr>
        <w:t>IASB</w:t>
      </w:r>
      <w:r>
        <w:rPr>
          <w:color w:val="231F20"/>
        </w:rPr>
        <w:t>）修订会计准则。</w:t>
      </w:r>
      <w:r>
        <w:rPr>
          <w:rFonts w:ascii="Times New Roman" w:eastAsia="Times New Roman" w:hAnsi="Times New Roman"/>
          <w:color w:val="231F20"/>
        </w:rPr>
        <w:t>2020</w:t>
      </w:r>
      <w:r>
        <w:rPr>
          <w:color w:val="231F20"/>
        </w:rPr>
        <w:t>年</w:t>
      </w:r>
      <w:r>
        <w:rPr>
          <w:rFonts w:ascii="Times New Roman" w:eastAsia="Times New Roman" w:hAnsi="Times New Roman"/>
          <w:color w:val="231F20"/>
        </w:rPr>
        <w:t>8</w:t>
      </w:r>
      <w:r>
        <w:rPr>
          <w:color w:val="231F20"/>
        </w:rPr>
        <w:t>月，</w:t>
      </w:r>
      <w:r>
        <w:rPr>
          <w:rFonts w:ascii="Times New Roman" w:eastAsia="Times New Roman" w:hAnsi="Times New Roman"/>
          <w:color w:val="231F20"/>
        </w:rPr>
        <w:t>IASB</w:t>
      </w:r>
      <w:r>
        <w:rPr>
          <w:color w:val="231F20"/>
        </w:rPr>
        <w:t>发布《基准利率改革——第二阶段》，就基准利率改革导致的金融资产或金融负债合同现金流量确定基</w:t>
      </w:r>
    </w:p>
    <w:p w:rsidR="000B52FE" w:rsidRDefault="000B52FE" w:rsidP="000B52FE">
      <w:pPr>
        <w:pStyle w:val="a5"/>
        <w:spacing w:before="78" w:line="374" w:lineRule="auto"/>
        <w:ind w:left="402" w:right="1404"/>
      </w:pPr>
      <w:r>
        <w:br w:type="column"/>
      </w:r>
      <w:proofErr w:type="gramStart"/>
      <w:r>
        <w:rPr>
          <w:color w:val="231F20"/>
        </w:rPr>
        <w:lastRenderedPageBreak/>
        <w:t>础</w:t>
      </w:r>
      <w:proofErr w:type="gramEnd"/>
      <w:r>
        <w:rPr>
          <w:color w:val="231F20"/>
        </w:rPr>
        <w:t>发生变更、租赁变更以及套期会计应用等问题对现行相关准则进行了修订。</w:t>
      </w:r>
    </w:p>
    <w:p w:rsidR="000B52FE" w:rsidRDefault="000B52FE" w:rsidP="000B52FE">
      <w:pPr>
        <w:pStyle w:val="a5"/>
        <w:ind w:left="827"/>
      </w:pPr>
      <w:r>
        <w:rPr>
          <w:rFonts w:ascii="Times New Roman" w:eastAsia="Times New Roman"/>
          <w:color w:val="231F20"/>
          <w:spacing w:val="15"/>
        </w:rPr>
        <w:t xml:space="preserve">2021 </w:t>
      </w:r>
      <w:r>
        <w:rPr>
          <w:color w:val="231F20"/>
          <w:spacing w:val="20"/>
        </w:rPr>
        <w:t>年</w:t>
      </w:r>
      <w:r>
        <w:rPr>
          <w:rFonts w:ascii="Times New Roman" w:eastAsia="Times New Roman"/>
          <w:color w:val="231F20"/>
        </w:rPr>
        <w:t xml:space="preserve">3 </w:t>
      </w:r>
      <w:r>
        <w:rPr>
          <w:color w:val="231F20"/>
          <w:spacing w:val="20"/>
        </w:rPr>
        <w:t>月</w:t>
      </w:r>
      <w:r>
        <w:rPr>
          <w:rFonts w:ascii="Times New Roman" w:eastAsia="Times New Roman"/>
          <w:color w:val="231F20"/>
        </w:rPr>
        <w:t xml:space="preserve">5 </w:t>
      </w:r>
      <w:r>
        <w:rPr>
          <w:color w:val="231F20"/>
          <w:spacing w:val="-22"/>
        </w:rPr>
        <w:t xml:space="preserve">日， </w:t>
      </w:r>
      <w:r>
        <w:rPr>
          <w:rFonts w:ascii="Times New Roman" w:eastAsia="Times New Roman"/>
          <w:color w:val="231F20"/>
          <w:spacing w:val="20"/>
        </w:rPr>
        <w:t>FCA</w:t>
      </w:r>
      <w:r>
        <w:rPr>
          <w:color w:val="231F20"/>
          <w:spacing w:val="4"/>
        </w:rPr>
        <w:t>发布公告， 明确</w:t>
      </w:r>
    </w:p>
    <w:p w:rsidR="000B52FE" w:rsidRDefault="000B52FE" w:rsidP="000B52FE">
      <w:pPr>
        <w:pStyle w:val="a5"/>
        <w:spacing w:before="151"/>
        <w:ind w:left="402"/>
      </w:pPr>
      <w:r>
        <w:rPr>
          <w:rFonts w:ascii="Times New Roman" w:eastAsia="Times New Roman"/>
          <w:color w:val="231F20"/>
        </w:rPr>
        <w:t>LIBOR</w:t>
      </w:r>
      <w:r>
        <w:rPr>
          <w:color w:val="231F20"/>
        </w:rPr>
        <w:t>退市有关安排：</w:t>
      </w:r>
    </w:p>
    <w:p w:rsidR="000B52FE" w:rsidRDefault="000B52FE" w:rsidP="000B52FE">
      <w:pPr>
        <w:sectPr w:rsidR="000B52FE">
          <w:type w:val="continuous"/>
          <w:pgSz w:w="11910" w:h="16160"/>
          <w:pgMar w:top="1520" w:right="0" w:bottom="280" w:left="520" w:header="720" w:footer="720" w:gutter="0"/>
          <w:cols w:num="2" w:space="720" w:equalWidth="0">
            <w:col w:w="5360" w:space="40"/>
            <w:col w:w="5990"/>
          </w:cols>
        </w:sectPr>
      </w:pPr>
    </w:p>
    <w:p w:rsidR="000B52FE" w:rsidRDefault="000B52FE" w:rsidP="000B52FE">
      <w:pPr>
        <w:pStyle w:val="a5"/>
        <w:spacing w:before="11"/>
        <w:rPr>
          <w:sz w:val="7"/>
        </w:rPr>
      </w:pPr>
    </w:p>
    <w:p w:rsidR="000B52FE" w:rsidRDefault="000B52FE" w:rsidP="000B52FE">
      <w:pPr>
        <w:tabs>
          <w:tab w:val="left" w:pos="3437"/>
        </w:tabs>
        <w:spacing w:before="81"/>
        <w:ind w:left="1588"/>
        <w:rPr>
          <w:sz w:val="21"/>
        </w:rPr>
      </w:pPr>
      <w:r>
        <w:rPr>
          <w:color w:val="0A376A"/>
          <w:sz w:val="21"/>
        </w:rPr>
        <w:t>表</w:t>
      </w:r>
      <w:r>
        <w:rPr>
          <w:rFonts w:ascii="Times New Roman" w:eastAsia="Times New Roman"/>
          <w:b/>
          <w:color w:val="0A376A"/>
          <w:sz w:val="21"/>
        </w:rPr>
        <w:t>1-3</w:t>
      </w:r>
      <w:r>
        <w:rPr>
          <w:rFonts w:ascii="Times New Roman" w:eastAsia="Times New Roman"/>
          <w:b/>
          <w:color w:val="0A376A"/>
          <w:sz w:val="21"/>
        </w:rPr>
        <w:tab/>
      </w:r>
      <w:r>
        <w:rPr>
          <w:color w:val="0A376A"/>
          <w:sz w:val="21"/>
        </w:rPr>
        <w:t>各期限品种</w:t>
      </w:r>
      <w:r>
        <w:rPr>
          <w:rFonts w:ascii="Times New Roman" w:eastAsia="Times New Roman"/>
          <w:b/>
          <w:color w:val="0A376A"/>
          <w:sz w:val="21"/>
        </w:rPr>
        <w:t>LIBOR</w:t>
      </w:r>
      <w:r>
        <w:rPr>
          <w:color w:val="0A376A"/>
          <w:sz w:val="21"/>
        </w:rPr>
        <w:t>停止报价或失去代表性时间</w:t>
      </w:r>
    </w:p>
    <w:p w:rsidR="000B52FE" w:rsidRDefault="000B52FE" w:rsidP="000B52FE">
      <w:pPr>
        <w:pStyle w:val="a5"/>
        <w:spacing w:before="10"/>
        <w:rPr>
          <w:sz w:val="8"/>
        </w:rPr>
      </w:pPr>
    </w:p>
    <w:tbl>
      <w:tblPr>
        <w:tblStyle w:val="TableNormal"/>
        <w:tblW w:w="0" w:type="auto"/>
        <w:tblInd w:w="1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71"/>
        <w:gridCol w:w="2357"/>
        <w:gridCol w:w="2408"/>
        <w:gridCol w:w="2751"/>
      </w:tblGrid>
      <w:tr w:rsidR="000B52FE" w:rsidTr="00146536">
        <w:trPr>
          <w:trHeight w:val="340"/>
        </w:trPr>
        <w:tc>
          <w:tcPr>
            <w:tcW w:w="1271" w:type="dxa"/>
            <w:tcBorders>
              <w:left w:val="nil"/>
            </w:tcBorders>
            <w:shd w:val="clear" w:color="auto" w:fill="0A376A"/>
          </w:tcPr>
          <w:p w:rsidR="000B52FE" w:rsidRDefault="000B52FE" w:rsidP="00146536">
            <w:pPr>
              <w:pStyle w:val="TableParagraph"/>
              <w:spacing w:before="54"/>
              <w:ind w:left="255" w:right="250"/>
              <w:jc w:val="center"/>
              <w:rPr>
                <w:sz w:val="18"/>
              </w:rPr>
            </w:pPr>
            <w:proofErr w:type="spellStart"/>
            <w:r>
              <w:rPr>
                <w:color w:val="FFFFFF"/>
                <w:sz w:val="18"/>
              </w:rPr>
              <w:t>币种</w:t>
            </w:r>
            <w:proofErr w:type="spellEnd"/>
          </w:p>
        </w:tc>
        <w:tc>
          <w:tcPr>
            <w:tcW w:w="2357" w:type="dxa"/>
            <w:shd w:val="clear" w:color="auto" w:fill="0A376A"/>
          </w:tcPr>
          <w:p w:rsidR="000B52FE" w:rsidRDefault="000B52FE" w:rsidP="00146536">
            <w:pPr>
              <w:pStyle w:val="TableParagraph"/>
              <w:spacing w:before="54"/>
              <w:ind w:left="325" w:right="325"/>
              <w:jc w:val="center"/>
              <w:rPr>
                <w:sz w:val="18"/>
              </w:rPr>
            </w:pPr>
            <w:proofErr w:type="spellStart"/>
            <w:r>
              <w:rPr>
                <w:color w:val="FFFFFF"/>
                <w:sz w:val="18"/>
              </w:rPr>
              <w:t>期限</w:t>
            </w:r>
            <w:proofErr w:type="spellEnd"/>
          </w:p>
        </w:tc>
        <w:tc>
          <w:tcPr>
            <w:tcW w:w="2408" w:type="dxa"/>
            <w:shd w:val="clear" w:color="auto" w:fill="0A376A"/>
          </w:tcPr>
          <w:p w:rsidR="000B52FE" w:rsidRDefault="000B52FE" w:rsidP="00146536">
            <w:pPr>
              <w:pStyle w:val="TableParagraph"/>
              <w:spacing w:before="54"/>
              <w:ind w:left="549" w:right="549"/>
              <w:jc w:val="center"/>
              <w:rPr>
                <w:sz w:val="18"/>
              </w:rPr>
            </w:pPr>
            <w:proofErr w:type="spellStart"/>
            <w:r>
              <w:rPr>
                <w:color w:val="FFFFFF"/>
                <w:sz w:val="18"/>
              </w:rPr>
              <w:t>停止报价时间</w:t>
            </w:r>
            <w:proofErr w:type="spellEnd"/>
          </w:p>
        </w:tc>
        <w:tc>
          <w:tcPr>
            <w:tcW w:w="2751" w:type="dxa"/>
            <w:tcBorders>
              <w:right w:val="nil"/>
            </w:tcBorders>
            <w:shd w:val="clear" w:color="auto" w:fill="0A376A"/>
          </w:tcPr>
          <w:p w:rsidR="000B52FE" w:rsidRDefault="000B52FE" w:rsidP="00146536">
            <w:pPr>
              <w:pStyle w:val="TableParagraph"/>
              <w:spacing w:before="54"/>
              <w:ind w:right="750"/>
              <w:rPr>
                <w:sz w:val="18"/>
              </w:rPr>
            </w:pPr>
            <w:proofErr w:type="spellStart"/>
            <w:r>
              <w:rPr>
                <w:color w:val="FFFFFF"/>
                <w:sz w:val="18"/>
              </w:rPr>
              <w:t>失去代表性时间</w:t>
            </w:r>
            <w:proofErr w:type="spellEnd"/>
          </w:p>
        </w:tc>
      </w:tr>
      <w:tr w:rsidR="000B52FE" w:rsidTr="00146536">
        <w:trPr>
          <w:trHeight w:val="340"/>
        </w:trPr>
        <w:tc>
          <w:tcPr>
            <w:tcW w:w="1271" w:type="dxa"/>
            <w:vMerge w:val="restart"/>
            <w:tcBorders>
              <w:left w:val="nil"/>
            </w:tcBorders>
            <w:shd w:val="clear" w:color="auto" w:fill="D4E3F5"/>
          </w:tcPr>
          <w:p w:rsidR="000B52FE" w:rsidRDefault="000B52FE" w:rsidP="00146536">
            <w:pPr>
              <w:pStyle w:val="TableParagraph"/>
              <w:spacing w:before="0"/>
              <w:jc w:val="left"/>
              <w:rPr>
                <w:sz w:val="20"/>
              </w:rPr>
            </w:pPr>
          </w:p>
          <w:p w:rsidR="000B52FE" w:rsidRDefault="000B52FE" w:rsidP="00146536">
            <w:pPr>
              <w:pStyle w:val="TableParagraph"/>
              <w:spacing w:before="148"/>
              <w:ind w:left="255" w:right="250"/>
              <w:jc w:val="center"/>
              <w:rPr>
                <w:sz w:val="18"/>
              </w:rPr>
            </w:pPr>
            <w:proofErr w:type="spellStart"/>
            <w:r>
              <w:rPr>
                <w:color w:val="231F20"/>
                <w:sz w:val="18"/>
              </w:rPr>
              <w:t>美元</w:t>
            </w:r>
            <w:proofErr w:type="spellEnd"/>
          </w:p>
        </w:tc>
        <w:tc>
          <w:tcPr>
            <w:tcW w:w="2357" w:type="dxa"/>
            <w:shd w:val="clear" w:color="auto" w:fill="D4E3F5"/>
          </w:tcPr>
          <w:p w:rsidR="000B52FE" w:rsidRDefault="000B52FE" w:rsidP="00146536">
            <w:pPr>
              <w:pStyle w:val="TableParagraph"/>
              <w:spacing w:before="54"/>
              <w:ind w:left="325" w:right="325"/>
              <w:jc w:val="center"/>
              <w:rPr>
                <w:sz w:val="18"/>
              </w:rPr>
            </w:pPr>
            <w:r>
              <w:rPr>
                <w:color w:val="231F20"/>
                <w:w w:val="110"/>
                <w:sz w:val="18"/>
              </w:rPr>
              <w:t>O/N，12M</w:t>
            </w:r>
          </w:p>
        </w:tc>
        <w:tc>
          <w:tcPr>
            <w:tcW w:w="2408" w:type="dxa"/>
            <w:shd w:val="clear" w:color="auto" w:fill="D4E3F5"/>
          </w:tcPr>
          <w:p w:rsidR="000B52FE" w:rsidRDefault="000B52FE" w:rsidP="00146536">
            <w:pPr>
              <w:pStyle w:val="TableParagraph"/>
              <w:spacing w:before="54"/>
              <w:ind w:left="549" w:right="549"/>
              <w:jc w:val="center"/>
              <w:rPr>
                <w:sz w:val="18"/>
              </w:rPr>
            </w:pPr>
            <w:r>
              <w:rPr>
                <w:color w:val="231F20"/>
                <w:sz w:val="18"/>
              </w:rPr>
              <w:t>2023年6月30日</w:t>
            </w:r>
          </w:p>
        </w:tc>
        <w:tc>
          <w:tcPr>
            <w:tcW w:w="2751" w:type="dxa"/>
            <w:tcBorders>
              <w:right w:val="nil"/>
            </w:tcBorders>
            <w:shd w:val="clear" w:color="auto" w:fill="D4E3F5"/>
          </w:tcPr>
          <w:p w:rsidR="000B52FE" w:rsidRDefault="000B52FE" w:rsidP="00146536">
            <w:pPr>
              <w:pStyle w:val="TableParagraph"/>
              <w:spacing w:before="0"/>
              <w:jc w:val="left"/>
              <w:rPr>
                <w:rFonts w:ascii="Times New Roman"/>
                <w:sz w:val="20"/>
              </w:rPr>
            </w:pPr>
          </w:p>
        </w:tc>
      </w:tr>
      <w:tr w:rsidR="000B52FE" w:rsidTr="00146536">
        <w:trPr>
          <w:trHeight w:val="340"/>
        </w:trPr>
        <w:tc>
          <w:tcPr>
            <w:tcW w:w="1271" w:type="dxa"/>
            <w:vMerge/>
            <w:tcBorders>
              <w:top w:val="nil"/>
              <w:left w:val="nil"/>
            </w:tcBorders>
            <w:shd w:val="clear" w:color="auto" w:fill="D4E3F5"/>
          </w:tcPr>
          <w:p w:rsidR="000B52FE" w:rsidRDefault="000B52FE" w:rsidP="00146536">
            <w:pPr>
              <w:rPr>
                <w:sz w:val="2"/>
                <w:szCs w:val="2"/>
              </w:rPr>
            </w:pPr>
          </w:p>
        </w:tc>
        <w:tc>
          <w:tcPr>
            <w:tcW w:w="2357" w:type="dxa"/>
            <w:shd w:val="clear" w:color="auto" w:fill="D4E3F5"/>
          </w:tcPr>
          <w:p w:rsidR="000B52FE" w:rsidRDefault="000B52FE" w:rsidP="00146536">
            <w:pPr>
              <w:pStyle w:val="TableParagraph"/>
              <w:spacing w:before="54"/>
              <w:ind w:left="325" w:right="325"/>
              <w:jc w:val="center"/>
              <w:rPr>
                <w:sz w:val="18"/>
              </w:rPr>
            </w:pPr>
            <w:r>
              <w:rPr>
                <w:color w:val="231F20"/>
                <w:w w:val="120"/>
                <w:sz w:val="18"/>
              </w:rPr>
              <w:t>1M，3M，6M</w:t>
            </w:r>
          </w:p>
        </w:tc>
        <w:tc>
          <w:tcPr>
            <w:tcW w:w="2408" w:type="dxa"/>
            <w:shd w:val="clear" w:color="auto" w:fill="D4E3F5"/>
          </w:tcPr>
          <w:p w:rsidR="000B52FE" w:rsidRDefault="000B52FE" w:rsidP="00146536">
            <w:pPr>
              <w:pStyle w:val="TableParagraph"/>
              <w:spacing w:before="0"/>
              <w:jc w:val="left"/>
              <w:rPr>
                <w:rFonts w:ascii="Times New Roman"/>
                <w:sz w:val="20"/>
              </w:rPr>
            </w:pPr>
          </w:p>
        </w:tc>
        <w:tc>
          <w:tcPr>
            <w:tcW w:w="2751" w:type="dxa"/>
            <w:tcBorders>
              <w:right w:val="nil"/>
            </w:tcBorders>
            <w:shd w:val="clear" w:color="auto" w:fill="D4E3F5"/>
          </w:tcPr>
          <w:p w:rsidR="000B52FE" w:rsidRDefault="000B52FE" w:rsidP="00146536">
            <w:pPr>
              <w:pStyle w:val="TableParagraph"/>
              <w:spacing w:before="54"/>
              <w:ind w:right="798"/>
              <w:rPr>
                <w:sz w:val="18"/>
              </w:rPr>
            </w:pPr>
            <w:r>
              <w:rPr>
                <w:color w:val="231F20"/>
                <w:w w:val="95"/>
                <w:sz w:val="18"/>
              </w:rPr>
              <w:t>2023年6月30日</w:t>
            </w:r>
          </w:p>
        </w:tc>
      </w:tr>
      <w:tr w:rsidR="000B52FE" w:rsidTr="00146536">
        <w:trPr>
          <w:trHeight w:val="340"/>
        </w:trPr>
        <w:tc>
          <w:tcPr>
            <w:tcW w:w="1271" w:type="dxa"/>
            <w:vMerge/>
            <w:tcBorders>
              <w:top w:val="nil"/>
              <w:left w:val="nil"/>
            </w:tcBorders>
            <w:shd w:val="clear" w:color="auto" w:fill="D4E3F5"/>
          </w:tcPr>
          <w:p w:rsidR="000B52FE" w:rsidRDefault="000B52FE" w:rsidP="00146536">
            <w:pPr>
              <w:rPr>
                <w:sz w:val="2"/>
                <w:szCs w:val="2"/>
              </w:rPr>
            </w:pPr>
          </w:p>
        </w:tc>
        <w:tc>
          <w:tcPr>
            <w:tcW w:w="2357" w:type="dxa"/>
            <w:shd w:val="clear" w:color="auto" w:fill="D4E3F5"/>
          </w:tcPr>
          <w:p w:rsidR="000B52FE" w:rsidRDefault="000B52FE" w:rsidP="00146536">
            <w:pPr>
              <w:pStyle w:val="TableParagraph"/>
              <w:spacing w:before="54"/>
              <w:ind w:left="325" w:right="325"/>
              <w:jc w:val="center"/>
              <w:rPr>
                <w:sz w:val="18"/>
              </w:rPr>
            </w:pPr>
            <w:r>
              <w:rPr>
                <w:color w:val="231F20"/>
                <w:w w:val="120"/>
                <w:sz w:val="18"/>
              </w:rPr>
              <w:t>1W，2M</w:t>
            </w:r>
          </w:p>
        </w:tc>
        <w:tc>
          <w:tcPr>
            <w:tcW w:w="2408" w:type="dxa"/>
            <w:shd w:val="clear" w:color="auto" w:fill="D4E3F5"/>
          </w:tcPr>
          <w:p w:rsidR="000B52FE" w:rsidRDefault="000B52FE" w:rsidP="00146536">
            <w:pPr>
              <w:pStyle w:val="TableParagraph"/>
              <w:spacing w:before="54"/>
              <w:ind w:left="549" w:right="549"/>
              <w:jc w:val="center"/>
              <w:rPr>
                <w:sz w:val="18"/>
              </w:rPr>
            </w:pPr>
            <w:r>
              <w:rPr>
                <w:color w:val="231F20"/>
                <w:sz w:val="18"/>
              </w:rPr>
              <w:t>2021年12月31日</w:t>
            </w:r>
          </w:p>
        </w:tc>
        <w:tc>
          <w:tcPr>
            <w:tcW w:w="2751" w:type="dxa"/>
            <w:tcBorders>
              <w:right w:val="nil"/>
            </w:tcBorders>
            <w:shd w:val="clear" w:color="auto" w:fill="D4E3F5"/>
          </w:tcPr>
          <w:p w:rsidR="000B52FE" w:rsidRDefault="000B52FE" w:rsidP="00146536">
            <w:pPr>
              <w:pStyle w:val="TableParagraph"/>
              <w:spacing w:before="0"/>
              <w:jc w:val="left"/>
              <w:rPr>
                <w:rFonts w:ascii="Times New Roman"/>
                <w:sz w:val="20"/>
              </w:rPr>
            </w:pPr>
          </w:p>
        </w:tc>
      </w:tr>
      <w:tr w:rsidR="000B52FE" w:rsidTr="00146536">
        <w:trPr>
          <w:trHeight w:val="340"/>
        </w:trPr>
        <w:tc>
          <w:tcPr>
            <w:tcW w:w="1271" w:type="dxa"/>
            <w:vMerge w:val="restart"/>
            <w:tcBorders>
              <w:left w:val="nil"/>
            </w:tcBorders>
            <w:shd w:val="clear" w:color="auto" w:fill="D4E3F5"/>
          </w:tcPr>
          <w:p w:rsidR="000B52FE" w:rsidRDefault="000B52FE" w:rsidP="00146536">
            <w:pPr>
              <w:pStyle w:val="TableParagraph"/>
              <w:spacing w:before="11"/>
              <w:jc w:val="left"/>
              <w:rPr>
                <w:sz w:val="17"/>
              </w:rPr>
            </w:pPr>
          </w:p>
          <w:p w:rsidR="000B52FE" w:rsidRDefault="000B52FE" w:rsidP="00146536">
            <w:pPr>
              <w:pStyle w:val="TableParagraph"/>
              <w:spacing w:before="1"/>
              <w:ind w:left="255" w:right="250"/>
              <w:jc w:val="center"/>
              <w:rPr>
                <w:sz w:val="18"/>
              </w:rPr>
            </w:pPr>
            <w:proofErr w:type="spellStart"/>
            <w:r>
              <w:rPr>
                <w:color w:val="231F20"/>
                <w:sz w:val="18"/>
              </w:rPr>
              <w:t>英镑</w:t>
            </w:r>
            <w:proofErr w:type="spellEnd"/>
          </w:p>
        </w:tc>
        <w:tc>
          <w:tcPr>
            <w:tcW w:w="2357" w:type="dxa"/>
            <w:shd w:val="clear" w:color="auto" w:fill="D4E3F5"/>
          </w:tcPr>
          <w:p w:rsidR="000B52FE" w:rsidRDefault="000B52FE" w:rsidP="00146536">
            <w:pPr>
              <w:pStyle w:val="TableParagraph"/>
              <w:spacing w:before="54"/>
              <w:ind w:left="325" w:right="325"/>
              <w:jc w:val="center"/>
              <w:rPr>
                <w:sz w:val="18"/>
              </w:rPr>
            </w:pPr>
            <w:r>
              <w:rPr>
                <w:color w:val="231F20"/>
                <w:w w:val="120"/>
                <w:sz w:val="18"/>
              </w:rPr>
              <w:t>1M，3M，6M</w:t>
            </w:r>
          </w:p>
        </w:tc>
        <w:tc>
          <w:tcPr>
            <w:tcW w:w="2408" w:type="dxa"/>
            <w:shd w:val="clear" w:color="auto" w:fill="D4E3F5"/>
          </w:tcPr>
          <w:p w:rsidR="000B52FE" w:rsidRDefault="000B52FE" w:rsidP="00146536">
            <w:pPr>
              <w:pStyle w:val="TableParagraph"/>
              <w:spacing w:before="0"/>
              <w:jc w:val="left"/>
              <w:rPr>
                <w:rFonts w:ascii="Times New Roman"/>
                <w:sz w:val="20"/>
              </w:rPr>
            </w:pPr>
          </w:p>
        </w:tc>
        <w:tc>
          <w:tcPr>
            <w:tcW w:w="2751" w:type="dxa"/>
            <w:tcBorders>
              <w:right w:val="nil"/>
            </w:tcBorders>
            <w:shd w:val="clear" w:color="auto" w:fill="D4E3F5"/>
          </w:tcPr>
          <w:p w:rsidR="000B52FE" w:rsidRDefault="000B52FE" w:rsidP="00146536">
            <w:pPr>
              <w:pStyle w:val="TableParagraph"/>
              <w:spacing w:before="54"/>
              <w:ind w:right="753"/>
              <w:rPr>
                <w:sz w:val="18"/>
              </w:rPr>
            </w:pPr>
            <w:r>
              <w:rPr>
                <w:color w:val="231F20"/>
                <w:w w:val="95"/>
                <w:sz w:val="18"/>
              </w:rPr>
              <w:t>2021年12月31日</w:t>
            </w:r>
          </w:p>
        </w:tc>
      </w:tr>
      <w:tr w:rsidR="000B52FE" w:rsidTr="00146536">
        <w:trPr>
          <w:trHeight w:val="340"/>
        </w:trPr>
        <w:tc>
          <w:tcPr>
            <w:tcW w:w="1271" w:type="dxa"/>
            <w:vMerge/>
            <w:tcBorders>
              <w:top w:val="nil"/>
              <w:left w:val="nil"/>
            </w:tcBorders>
            <w:shd w:val="clear" w:color="auto" w:fill="D4E3F5"/>
          </w:tcPr>
          <w:p w:rsidR="000B52FE" w:rsidRDefault="000B52FE" w:rsidP="00146536">
            <w:pPr>
              <w:rPr>
                <w:sz w:val="2"/>
                <w:szCs w:val="2"/>
              </w:rPr>
            </w:pPr>
          </w:p>
        </w:tc>
        <w:tc>
          <w:tcPr>
            <w:tcW w:w="2357" w:type="dxa"/>
            <w:shd w:val="clear" w:color="auto" w:fill="D4E3F5"/>
          </w:tcPr>
          <w:p w:rsidR="000B52FE" w:rsidRDefault="000B52FE" w:rsidP="00146536">
            <w:pPr>
              <w:pStyle w:val="TableParagraph"/>
              <w:spacing w:before="54"/>
              <w:ind w:left="325" w:right="325"/>
              <w:jc w:val="center"/>
              <w:rPr>
                <w:sz w:val="18"/>
              </w:rPr>
            </w:pPr>
            <w:r>
              <w:rPr>
                <w:color w:val="231F20"/>
                <w:w w:val="115"/>
                <w:sz w:val="18"/>
              </w:rPr>
              <w:t>O/N，1W，2M，12M</w:t>
            </w:r>
          </w:p>
        </w:tc>
        <w:tc>
          <w:tcPr>
            <w:tcW w:w="2408" w:type="dxa"/>
            <w:shd w:val="clear" w:color="auto" w:fill="D4E3F5"/>
          </w:tcPr>
          <w:p w:rsidR="000B52FE" w:rsidRDefault="000B52FE" w:rsidP="00146536">
            <w:pPr>
              <w:pStyle w:val="TableParagraph"/>
              <w:spacing w:before="54"/>
              <w:ind w:left="549" w:right="549"/>
              <w:jc w:val="center"/>
              <w:rPr>
                <w:sz w:val="18"/>
              </w:rPr>
            </w:pPr>
            <w:r>
              <w:rPr>
                <w:color w:val="231F20"/>
                <w:sz w:val="18"/>
              </w:rPr>
              <w:t>2021年12月31日</w:t>
            </w:r>
          </w:p>
        </w:tc>
        <w:tc>
          <w:tcPr>
            <w:tcW w:w="2751" w:type="dxa"/>
            <w:tcBorders>
              <w:right w:val="nil"/>
            </w:tcBorders>
            <w:shd w:val="clear" w:color="auto" w:fill="D4E3F5"/>
          </w:tcPr>
          <w:p w:rsidR="000B52FE" w:rsidRDefault="000B52FE" w:rsidP="00146536">
            <w:pPr>
              <w:pStyle w:val="TableParagraph"/>
              <w:spacing w:before="0"/>
              <w:jc w:val="left"/>
              <w:rPr>
                <w:rFonts w:ascii="Times New Roman"/>
                <w:sz w:val="20"/>
              </w:rPr>
            </w:pPr>
          </w:p>
        </w:tc>
      </w:tr>
      <w:tr w:rsidR="000B52FE" w:rsidTr="00146536">
        <w:trPr>
          <w:trHeight w:val="340"/>
        </w:trPr>
        <w:tc>
          <w:tcPr>
            <w:tcW w:w="1271" w:type="dxa"/>
            <w:tcBorders>
              <w:left w:val="nil"/>
            </w:tcBorders>
            <w:shd w:val="clear" w:color="auto" w:fill="D4E3F5"/>
          </w:tcPr>
          <w:p w:rsidR="000B52FE" w:rsidRDefault="000B52FE" w:rsidP="00146536">
            <w:pPr>
              <w:pStyle w:val="TableParagraph"/>
              <w:spacing w:before="54"/>
              <w:ind w:left="255" w:right="250"/>
              <w:jc w:val="center"/>
              <w:rPr>
                <w:sz w:val="18"/>
              </w:rPr>
            </w:pPr>
            <w:proofErr w:type="spellStart"/>
            <w:r>
              <w:rPr>
                <w:color w:val="231F20"/>
                <w:sz w:val="18"/>
              </w:rPr>
              <w:t>欧元</w:t>
            </w:r>
            <w:proofErr w:type="spellEnd"/>
          </w:p>
        </w:tc>
        <w:tc>
          <w:tcPr>
            <w:tcW w:w="2357" w:type="dxa"/>
            <w:shd w:val="clear" w:color="auto" w:fill="D4E3F5"/>
          </w:tcPr>
          <w:p w:rsidR="000B52FE" w:rsidRDefault="000B52FE" w:rsidP="00146536">
            <w:pPr>
              <w:pStyle w:val="TableParagraph"/>
              <w:spacing w:before="54"/>
              <w:ind w:left="325" w:right="325"/>
              <w:jc w:val="center"/>
              <w:rPr>
                <w:sz w:val="18"/>
              </w:rPr>
            </w:pPr>
            <w:proofErr w:type="spellStart"/>
            <w:r>
              <w:rPr>
                <w:color w:val="231F20"/>
                <w:sz w:val="18"/>
              </w:rPr>
              <w:t>全部期限</w:t>
            </w:r>
            <w:proofErr w:type="spellEnd"/>
          </w:p>
        </w:tc>
        <w:tc>
          <w:tcPr>
            <w:tcW w:w="2408" w:type="dxa"/>
            <w:shd w:val="clear" w:color="auto" w:fill="D4E3F5"/>
          </w:tcPr>
          <w:p w:rsidR="000B52FE" w:rsidRDefault="000B52FE" w:rsidP="00146536">
            <w:pPr>
              <w:pStyle w:val="TableParagraph"/>
              <w:spacing w:before="54"/>
              <w:ind w:left="549" w:right="549"/>
              <w:jc w:val="center"/>
              <w:rPr>
                <w:sz w:val="18"/>
              </w:rPr>
            </w:pPr>
            <w:r>
              <w:rPr>
                <w:color w:val="231F20"/>
                <w:sz w:val="18"/>
              </w:rPr>
              <w:t>2021年12月31日</w:t>
            </w:r>
          </w:p>
        </w:tc>
        <w:tc>
          <w:tcPr>
            <w:tcW w:w="2751" w:type="dxa"/>
            <w:tcBorders>
              <w:right w:val="nil"/>
            </w:tcBorders>
            <w:shd w:val="clear" w:color="auto" w:fill="D4E3F5"/>
          </w:tcPr>
          <w:p w:rsidR="000B52FE" w:rsidRDefault="000B52FE" w:rsidP="00146536">
            <w:pPr>
              <w:pStyle w:val="TableParagraph"/>
              <w:spacing w:before="0"/>
              <w:jc w:val="left"/>
              <w:rPr>
                <w:rFonts w:ascii="Times New Roman"/>
                <w:sz w:val="20"/>
              </w:rPr>
            </w:pPr>
          </w:p>
        </w:tc>
      </w:tr>
      <w:tr w:rsidR="000B52FE" w:rsidTr="00146536">
        <w:trPr>
          <w:trHeight w:val="340"/>
        </w:trPr>
        <w:tc>
          <w:tcPr>
            <w:tcW w:w="1271" w:type="dxa"/>
            <w:vMerge w:val="restart"/>
            <w:tcBorders>
              <w:left w:val="nil"/>
            </w:tcBorders>
            <w:shd w:val="clear" w:color="auto" w:fill="D4E3F5"/>
          </w:tcPr>
          <w:p w:rsidR="000B52FE" w:rsidRDefault="000B52FE" w:rsidP="00146536">
            <w:pPr>
              <w:pStyle w:val="TableParagraph"/>
              <w:spacing w:before="11"/>
              <w:jc w:val="left"/>
              <w:rPr>
                <w:sz w:val="17"/>
              </w:rPr>
            </w:pPr>
          </w:p>
          <w:p w:rsidR="000B52FE" w:rsidRDefault="000B52FE" w:rsidP="00146536">
            <w:pPr>
              <w:pStyle w:val="TableParagraph"/>
              <w:spacing w:before="1"/>
              <w:ind w:left="255" w:right="250"/>
              <w:jc w:val="center"/>
              <w:rPr>
                <w:sz w:val="18"/>
              </w:rPr>
            </w:pPr>
            <w:proofErr w:type="spellStart"/>
            <w:r>
              <w:rPr>
                <w:color w:val="231F20"/>
                <w:sz w:val="18"/>
              </w:rPr>
              <w:t>日元</w:t>
            </w:r>
            <w:proofErr w:type="spellEnd"/>
          </w:p>
        </w:tc>
        <w:tc>
          <w:tcPr>
            <w:tcW w:w="2357" w:type="dxa"/>
            <w:shd w:val="clear" w:color="auto" w:fill="D4E3F5"/>
          </w:tcPr>
          <w:p w:rsidR="000B52FE" w:rsidRDefault="000B52FE" w:rsidP="00146536">
            <w:pPr>
              <w:pStyle w:val="TableParagraph"/>
              <w:spacing w:before="54"/>
              <w:ind w:left="325" w:right="325"/>
              <w:jc w:val="center"/>
              <w:rPr>
                <w:sz w:val="18"/>
              </w:rPr>
            </w:pPr>
            <w:r>
              <w:rPr>
                <w:color w:val="231F20"/>
                <w:w w:val="120"/>
                <w:sz w:val="18"/>
              </w:rPr>
              <w:t>1M，3M，6M</w:t>
            </w:r>
          </w:p>
        </w:tc>
        <w:tc>
          <w:tcPr>
            <w:tcW w:w="2408" w:type="dxa"/>
            <w:shd w:val="clear" w:color="auto" w:fill="D4E3F5"/>
          </w:tcPr>
          <w:p w:rsidR="000B52FE" w:rsidRDefault="000B52FE" w:rsidP="00146536">
            <w:pPr>
              <w:pStyle w:val="TableParagraph"/>
              <w:spacing w:before="0"/>
              <w:jc w:val="left"/>
              <w:rPr>
                <w:rFonts w:ascii="Times New Roman"/>
                <w:sz w:val="20"/>
              </w:rPr>
            </w:pPr>
          </w:p>
        </w:tc>
        <w:tc>
          <w:tcPr>
            <w:tcW w:w="2751" w:type="dxa"/>
            <w:tcBorders>
              <w:right w:val="nil"/>
            </w:tcBorders>
            <w:shd w:val="clear" w:color="auto" w:fill="D4E3F5"/>
          </w:tcPr>
          <w:p w:rsidR="000B52FE" w:rsidRDefault="000B52FE" w:rsidP="00146536">
            <w:pPr>
              <w:pStyle w:val="TableParagraph"/>
              <w:spacing w:before="54"/>
              <w:ind w:right="753"/>
              <w:rPr>
                <w:sz w:val="18"/>
              </w:rPr>
            </w:pPr>
            <w:r>
              <w:rPr>
                <w:color w:val="231F20"/>
                <w:w w:val="95"/>
                <w:sz w:val="18"/>
              </w:rPr>
              <w:t>2021年12月31日</w:t>
            </w:r>
          </w:p>
        </w:tc>
      </w:tr>
      <w:tr w:rsidR="000B52FE" w:rsidTr="00146536">
        <w:trPr>
          <w:trHeight w:val="340"/>
        </w:trPr>
        <w:tc>
          <w:tcPr>
            <w:tcW w:w="1271" w:type="dxa"/>
            <w:vMerge/>
            <w:tcBorders>
              <w:top w:val="nil"/>
              <w:left w:val="nil"/>
            </w:tcBorders>
            <w:shd w:val="clear" w:color="auto" w:fill="D4E3F5"/>
          </w:tcPr>
          <w:p w:rsidR="000B52FE" w:rsidRDefault="000B52FE" w:rsidP="00146536">
            <w:pPr>
              <w:rPr>
                <w:sz w:val="2"/>
                <w:szCs w:val="2"/>
              </w:rPr>
            </w:pPr>
          </w:p>
        </w:tc>
        <w:tc>
          <w:tcPr>
            <w:tcW w:w="2357" w:type="dxa"/>
            <w:shd w:val="clear" w:color="auto" w:fill="D4E3F5"/>
          </w:tcPr>
          <w:p w:rsidR="000B52FE" w:rsidRDefault="000B52FE" w:rsidP="00146536">
            <w:pPr>
              <w:pStyle w:val="TableParagraph"/>
              <w:spacing w:before="54"/>
              <w:ind w:left="325" w:right="325"/>
              <w:jc w:val="center"/>
              <w:rPr>
                <w:sz w:val="18"/>
              </w:rPr>
            </w:pPr>
            <w:r>
              <w:rPr>
                <w:color w:val="231F20"/>
                <w:w w:val="115"/>
                <w:sz w:val="18"/>
              </w:rPr>
              <w:t>O/N，1W，2M，12M</w:t>
            </w:r>
          </w:p>
        </w:tc>
        <w:tc>
          <w:tcPr>
            <w:tcW w:w="2408" w:type="dxa"/>
            <w:shd w:val="clear" w:color="auto" w:fill="D4E3F5"/>
          </w:tcPr>
          <w:p w:rsidR="000B52FE" w:rsidRDefault="000B52FE" w:rsidP="00146536">
            <w:pPr>
              <w:pStyle w:val="TableParagraph"/>
              <w:spacing w:before="54"/>
              <w:ind w:left="549" w:right="549"/>
              <w:jc w:val="center"/>
              <w:rPr>
                <w:sz w:val="18"/>
              </w:rPr>
            </w:pPr>
            <w:r>
              <w:rPr>
                <w:color w:val="231F20"/>
                <w:sz w:val="18"/>
              </w:rPr>
              <w:t>2021年12月31日</w:t>
            </w:r>
          </w:p>
        </w:tc>
        <w:tc>
          <w:tcPr>
            <w:tcW w:w="2751" w:type="dxa"/>
            <w:tcBorders>
              <w:right w:val="nil"/>
            </w:tcBorders>
            <w:shd w:val="clear" w:color="auto" w:fill="D4E3F5"/>
          </w:tcPr>
          <w:p w:rsidR="000B52FE" w:rsidRDefault="000B52FE" w:rsidP="00146536">
            <w:pPr>
              <w:pStyle w:val="TableParagraph"/>
              <w:spacing w:before="0"/>
              <w:jc w:val="left"/>
              <w:rPr>
                <w:rFonts w:ascii="Times New Roman"/>
                <w:sz w:val="20"/>
              </w:rPr>
            </w:pPr>
          </w:p>
        </w:tc>
      </w:tr>
      <w:tr w:rsidR="000B52FE" w:rsidTr="00146536">
        <w:trPr>
          <w:trHeight w:val="340"/>
        </w:trPr>
        <w:tc>
          <w:tcPr>
            <w:tcW w:w="1271" w:type="dxa"/>
            <w:tcBorders>
              <w:left w:val="nil"/>
            </w:tcBorders>
            <w:shd w:val="clear" w:color="auto" w:fill="D4E3F5"/>
          </w:tcPr>
          <w:p w:rsidR="000B52FE" w:rsidRDefault="000B52FE" w:rsidP="00146536">
            <w:pPr>
              <w:pStyle w:val="TableParagraph"/>
              <w:spacing w:before="54"/>
              <w:ind w:left="255" w:right="250"/>
              <w:jc w:val="center"/>
              <w:rPr>
                <w:sz w:val="18"/>
              </w:rPr>
            </w:pPr>
            <w:proofErr w:type="spellStart"/>
            <w:r>
              <w:rPr>
                <w:color w:val="231F20"/>
                <w:sz w:val="18"/>
              </w:rPr>
              <w:t>瑞士法郎</w:t>
            </w:r>
            <w:proofErr w:type="spellEnd"/>
          </w:p>
        </w:tc>
        <w:tc>
          <w:tcPr>
            <w:tcW w:w="2357" w:type="dxa"/>
            <w:shd w:val="clear" w:color="auto" w:fill="D4E3F5"/>
          </w:tcPr>
          <w:p w:rsidR="000B52FE" w:rsidRDefault="000B52FE" w:rsidP="00146536">
            <w:pPr>
              <w:pStyle w:val="TableParagraph"/>
              <w:spacing w:before="54"/>
              <w:ind w:left="325" w:right="325"/>
              <w:jc w:val="center"/>
              <w:rPr>
                <w:sz w:val="18"/>
              </w:rPr>
            </w:pPr>
            <w:proofErr w:type="spellStart"/>
            <w:r>
              <w:rPr>
                <w:color w:val="231F20"/>
                <w:sz w:val="18"/>
              </w:rPr>
              <w:t>全部期限</w:t>
            </w:r>
            <w:proofErr w:type="spellEnd"/>
          </w:p>
        </w:tc>
        <w:tc>
          <w:tcPr>
            <w:tcW w:w="2408" w:type="dxa"/>
            <w:shd w:val="clear" w:color="auto" w:fill="D4E3F5"/>
          </w:tcPr>
          <w:p w:rsidR="000B52FE" w:rsidRDefault="000B52FE" w:rsidP="00146536">
            <w:pPr>
              <w:pStyle w:val="TableParagraph"/>
              <w:spacing w:before="54"/>
              <w:ind w:left="549" w:right="549"/>
              <w:jc w:val="center"/>
              <w:rPr>
                <w:sz w:val="18"/>
              </w:rPr>
            </w:pPr>
            <w:r>
              <w:rPr>
                <w:color w:val="231F20"/>
                <w:sz w:val="18"/>
              </w:rPr>
              <w:t>2021年12月31日</w:t>
            </w:r>
          </w:p>
        </w:tc>
        <w:tc>
          <w:tcPr>
            <w:tcW w:w="2751" w:type="dxa"/>
            <w:tcBorders>
              <w:right w:val="nil"/>
            </w:tcBorders>
            <w:shd w:val="clear" w:color="auto" w:fill="D4E3F5"/>
          </w:tcPr>
          <w:p w:rsidR="000B52FE" w:rsidRDefault="000B52FE" w:rsidP="00146536">
            <w:pPr>
              <w:pStyle w:val="TableParagraph"/>
              <w:spacing w:before="0"/>
              <w:jc w:val="left"/>
              <w:rPr>
                <w:rFonts w:ascii="Times New Roman"/>
                <w:sz w:val="20"/>
              </w:rPr>
            </w:pPr>
          </w:p>
        </w:tc>
      </w:tr>
    </w:tbl>
    <w:p w:rsidR="000B52FE" w:rsidRDefault="000B52FE" w:rsidP="000B52FE">
      <w:pPr>
        <w:pStyle w:val="a5"/>
        <w:rPr>
          <w:sz w:val="20"/>
        </w:rPr>
      </w:pPr>
    </w:p>
    <w:p w:rsidR="000B52FE" w:rsidRDefault="000B52FE" w:rsidP="000B52FE">
      <w:pPr>
        <w:pStyle w:val="a5"/>
        <w:rPr>
          <w:sz w:val="20"/>
        </w:rPr>
      </w:pPr>
    </w:p>
    <w:p w:rsidR="000B52FE" w:rsidRDefault="000B52FE" w:rsidP="000B52FE">
      <w:pPr>
        <w:pStyle w:val="a5"/>
        <w:spacing w:before="4"/>
        <w:rPr>
          <w:sz w:val="17"/>
        </w:rPr>
      </w:pPr>
    </w:p>
    <w:p w:rsidR="000B52FE" w:rsidRDefault="000B52FE" w:rsidP="000B52FE">
      <w:pPr>
        <w:rPr>
          <w:sz w:val="17"/>
        </w:rPr>
        <w:sectPr w:rsidR="000B52FE">
          <w:type w:val="continuous"/>
          <w:pgSz w:w="11910" w:h="16160"/>
          <w:pgMar w:top="1520" w:right="0" w:bottom="280" w:left="520" w:header="720" w:footer="720" w:gutter="0"/>
          <w:cols w:space="720"/>
        </w:sectPr>
      </w:pPr>
    </w:p>
    <w:p w:rsidR="000B52FE" w:rsidRDefault="000B52FE" w:rsidP="000B52FE">
      <w:pPr>
        <w:spacing w:before="72" w:line="249" w:lineRule="auto"/>
        <w:ind w:left="1180" w:right="22" w:firstLine="464"/>
        <w:rPr>
          <w:sz w:val="28"/>
        </w:rPr>
      </w:pPr>
      <w:r>
        <w:rPr>
          <w:color w:val="0A376A"/>
          <w:sz w:val="28"/>
        </w:rPr>
        <w:lastRenderedPageBreak/>
        <w:t>三、中国的国际基准利率改革准备情况</w:t>
      </w:r>
    </w:p>
    <w:p w:rsidR="000B52FE" w:rsidRDefault="000B52FE" w:rsidP="000B52FE">
      <w:pPr>
        <w:pStyle w:val="a5"/>
        <w:spacing w:before="6"/>
        <w:rPr>
          <w:sz w:val="35"/>
        </w:rPr>
      </w:pPr>
    </w:p>
    <w:p w:rsidR="000B52FE" w:rsidRDefault="000B52FE" w:rsidP="000B52FE">
      <w:pPr>
        <w:pStyle w:val="a5"/>
        <w:spacing w:line="374" w:lineRule="auto"/>
        <w:ind w:left="1180" w:right="12" w:firstLine="425"/>
        <w:jc w:val="both"/>
      </w:pPr>
      <w:r>
        <w:rPr>
          <w:color w:val="231F20"/>
        </w:rPr>
        <w:t>随着经济全球化和对外开放步伐的不断加快，中国境内银行也有一定规模的外币风险敞口，其中部分参考</w:t>
      </w:r>
      <w:r>
        <w:rPr>
          <w:rFonts w:ascii="Times New Roman" w:eastAsia="Times New Roman"/>
          <w:color w:val="231F20"/>
        </w:rPr>
        <w:t>LIBOR</w:t>
      </w:r>
      <w:r>
        <w:rPr>
          <w:color w:val="231F20"/>
        </w:rPr>
        <w:t>等基准利率定价。截至</w:t>
      </w:r>
      <w:r>
        <w:rPr>
          <w:rFonts w:ascii="Times New Roman" w:eastAsia="Times New Roman"/>
          <w:color w:val="231F20"/>
        </w:rPr>
        <w:t>2020</w:t>
      </w:r>
      <w:r>
        <w:rPr>
          <w:color w:val="231F20"/>
        </w:rPr>
        <w:t>年末，</w:t>
      </w:r>
      <w:r>
        <w:rPr>
          <w:rFonts w:ascii="Times New Roman" w:eastAsia="Times New Roman"/>
          <w:color w:val="231F20"/>
        </w:rPr>
        <w:t>15</w:t>
      </w:r>
      <w:r>
        <w:rPr>
          <w:color w:val="231F20"/>
        </w:rPr>
        <w:t>家主要银行于</w:t>
      </w:r>
      <w:r>
        <w:rPr>
          <w:rFonts w:ascii="Times New Roman" w:eastAsia="Times New Roman"/>
          <w:color w:val="231F20"/>
        </w:rPr>
        <w:t>2021</w:t>
      </w:r>
      <w:r>
        <w:rPr>
          <w:color w:val="231F20"/>
        </w:rPr>
        <w:t>年末以后到期的</w:t>
      </w:r>
      <w:r>
        <w:rPr>
          <w:rFonts w:ascii="Times New Roman" w:eastAsia="Times New Roman"/>
          <w:color w:val="231F20"/>
        </w:rPr>
        <w:t>LIBOR</w:t>
      </w:r>
      <w:r>
        <w:rPr>
          <w:color w:val="231F20"/>
        </w:rPr>
        <w:t>敞口约为</w:t>
      </w:r>
      <w:r>
        <w:rPr>
          <w:rFonts w:ascii="Times New Roman" w:eastAsia="Times New Roman"/>
          <w:color w:val="231F20"/>
        </w:rPr>
        <w:t>4000</w:t>
      </w:r>
      <w:r>
        <w:rPr>
          <w:color w:val="231F20"/>
        </w:rPr>
        <w:t>亿美元。中国将借鉴国际共识与最佳实践，以较小成本、较高效率有序推进国际基准利率转换有关工作。</w:t>
      </w:r>
    </w:p>
    <w:p w:rsidR="000B52FE" w:rsidRDefault="000B52FE" w:rsidP="000B52FE">
      <w:pPr>
        <w:pStyle w:val="a5"/>
        <w:spacing w:before="2" w:line="374" w:lineRule="auto"/>
        <w:ind w:left="1180" w:firstLine="425"/>
        <w:jc w:val="both"/>
      </w:pPr>
      <w:r>
        <w:rPr>
          <w:color w:val="231F20"/>
        </w:rPr>
        <w:t>在人民银行的统筹指导下，市场利率定价自律机制于</w:t>
      </w:r>
      <w:r>
        <w:rPr>
          <w:rFonts w:ascii="Times New Roman" w:eastAsia="Times New Roman"/>
          <w:color w:val="231F20"/>
        </w:rPr>
        <w:t>2019</w:t>
      </w:r>
      <w:r>
        <w:rPr>
          <w:color w:val="231F20"/>
        </w:rPr>
        <w:t>年</w:t>
      </w:r>
      <w:r>
        <w:rPr>
          <w:rFonts w:ascii="Times New Roman" w:eastAsia="Times New Roman"/>
          <w:color w:val="231F20"/>
        </w:rPr>
        <w:t>9</w:t>
      </w:r>
      <w:r>
        <w:rPr>
          <w:color w:val="231F20"/>
        </w:rPr>
        <w:t>月成立国际基准利率改革工作组（以下简称</w:t>
      </w:r>
      <w:r>
        <w:rPr>
          <w:rFonts w:ascii="Times New Roman" w:eastAsia="Times New Roman"/>
          <w:color w:val="231F20"/>
        </w:rPr>
        <w:t>LIBOR</w:t>
      </w:r>
      <w:r>
        <w:rPr>
          <w:color w:val="231F20"/>
        </w:rPr>
        <w:t>工作组），</w:t>
      </w:r>
    </w:p>
    <w:p w:rsidR="000B52FE" w:rsidRDefault="000B52FE" w:rsidP="000B52FE">
      <w:pPr>
        <w:pStyle w:val="a5"/>
        <w:spacing w:before="71" w:line="374" w:lineRule="auto"/>
        <w:ind w:left="388" w:right="1394"/>
        <w:jc w:val="both"/>
      </w:pPr>
      <w:r>
        <w:br w:type="column"/>
      </w:r>
      <w:r>
        <w:rPr>
          <w:color w:val="231F20"/>
        </w:rPr>
        <w:lastRenderedPageBreak/>
        <w:t>统筹研究推进国际基准利率改革的各项工作。</w:t>
      </w:r>
      <w:r>
        <w:rPr>
          <w:rFonts w:ascii="Times New Roman" w:eastAsia="Times New Roman"/>
          <w:color w:val="231F20"/>
        </w:rPr>
        <w:t>LIBOR</w:t>
      </w:r>
      <w:r>
        <w:rPr>
          <w:color w:val="231F20"/>
        </w:rPr>
        <w:t>工作组定期召开会议，交流国际基准利率改革最新动态；起草涉及</w:t>
      </w:r>
      <w:r>
        <w:rPr>
          <w:rFonts w:ascii="Times New Roman" w:eastAsia="Times New Roman"/>
          <w:color w:val="231F20"/>
        </w:rPr>
        <w:t>LIBOR</w:t>
      </w:r>
      <w:r>
        <w:rPr>
          <w:color w:val="231F20"/>
        </w:rPr>
        <w:t>的债券、衍生品、存贷款等产品基准利率转换方案；密切监测境内</w:t>
      </w:r>
      <w:r>
        <w:rPr>
          <w:rFonts w:ascii="Times New Roman" w:eastAsia="Times New Roman"/>
          <w:color w:val="231F20"/>
        </w:rPr>
        <w:t>LIBOR</w:t>
      </w:r>
      <w:r>
        <w:rPr>
          <w:color w:val="231F20"/>
        </w:rPr>
        <w:t>风险敞口，评估</w:t>
      </w:r>
      <w:r>
        <w:rPr>
          <w:rFonts w:ascii="Times New Roman" w:eastAsia="Times New Roman"/>
          <w:color w:val="231F20"/>
        </w:rPr>
        <w:t>LIBOR</w:t>
      </w:r>
      <w:r>
        <w:rPr>
          <w:color w:val="231F20"/>
        </w:rPr>
        <w:t>退出对境内银行的影响。总体上看， 境内银行涉及</w:t>
      </w:r>
      <w:r>
        <w:rPr>
          <w:rFonts w:ascii="Times New Roman" w:eastAsia="Times New Roman"/>
          <w:color w:val="231F20"/>
        </w:rPr>
        <w:t>LIBOR</w:t>
      </w:r>
      <w:r>
        <w:rPr>
          <w:color w:val="231F20"/>
        </w:rPr>
        <w:t xml:space="preserve">的存量业务规模不大， </w:t>
      </w:r>
      <w:proofErr w:type="gramStart"/>
      <w:r>
        <w:rPr>
          <w:color w:val="231F20"/>
        </w:rPr>
        <w:t>久期较短</w:t>
      </w:r>
      <w:proofErr w:type="gramEnd"/>
      <w:r>
        <w:rPr>
          <w:color w:val="231F20"/>
        </w:rPr>
        <w:t>，集中度较高，</w:t>
      </w:r>
      <w:r>
        <w:rPr>
          <w:rFonts w:ascii="Times New Roman" w:eastAsia="Times New Roman"/>
          <w:color w:val="231F20"/>
        </w:rPr>
        <w:t>LIBOR</w:t>
      </w:r>
      <w:r>
        <w:rPr>
          <w:color w:val="231F20"/>
        </w:rPr>
        <w:t>退出影响有限，风险可控。</w:t>
      </w:r>
    </w:p>
    <w:p w:rsidR="000B52FE" w:rsidRDefault="000B52FE" w:rsidP="000B52FE">
      <w:pPr>
        <w:pStyle w:val="a5"/>
        <w:spacing w:before="3" w:line="374" w:lineRule="auto"/>
        <w:ind w:left="388" w:right="1404" w:firstLine="425"/>
        <w:jc w:val="both"/>
      </w:pPr>
      <w:r>
        <w:rPr>
          <w:rFonts w:ascii="Times New Roman" w:eastAsia="Times New Roman"/>
          <w:color w:val="231F20"/>
        </w:rPr>
        <w:t>2020</w:t>
      </w:r>
      <w:r>
        <w:rPr>
          <w:color w:val="231F20"/>
        </w:rPr>
        <w:t>年</w:t>
      </w:r>
      <w:r>
        <w:rPr>
          <w:rFonts w:ascii="Times New Roman" w:eastAsia="Times New Roman"/>
          <w:color w:val="231F20"/>
        </w:rPr>
        <w:t>8</w:t>
      </w:r>
      <w:r>
        <w:rPr>
          <w:color w:val="231F20"/>
        </w:rPr>
        <w:t>月</w:t>
      </w:r>
      <w:r>
        <w:rPr>
          <w:rFonts w:ascii="Times New Roman" w:eastAsia="Times New Roman"/>
          <w:color w:val="231F20"/>
        </w:rPr>
        <w:t>31</w:t>
      </w:r>
      <w:r>
        <w:rPr>
          <w:color w:val="231F20"/>
        </w:rPr>
        <w:t>日，人民银行发布《参与国际基准利率改革和健全中国基准利率体系》白皮书，全面介绍国际基准利率改革的有关内容和中国参与相关工作的进展和计划，梳理总结中国的基准利率体系建设情况，明确</w:t>
      </w:r>
    </w:p>
    <w:p w:rsidR="000B52FE" w:rsidRDefault="000B52FE" w:rsidP="000B52FE">
      <w:pPr>
        <w:spacing w:line="374" w:lineRule="auto"/>
        <w:jc w:val="both"/>
        <w:sectPr w:rsidR="000B52FE">
          <w:type w:val="continuous"/>
          <w:pgSz w:w="11910" w:h="16160"/>
          <w:pgMar w:top="1520" w:right="0" w:bottom="280" w:left="520" w:header="720" w:footer="720" w:gutter="0"/>
          <w:cols w:num="2" w:space="720" w:equalWidth="0">
            <w:col w:w="5373" w:space="40"/>
            <w:col w:w="5977"/>
          </w:cols>
        </w:sectPr>
      </w:pPr>
    </w:p>
    <w:p w:rsidR="000B52FE" w:rsidRDefault="000B52FE" w:rsidP="000B52FE">
      <w:pPr>
        <w:pStyle w:val="a5"/>
        <w:rPr>
          <w:sz w:val="20"/>
        </w:rPr>
      </w:pPr>
    </w:p>
    <w:p w:rsidR="000B52FE" w:rsidRDefault="000B52FE" w:rsidP="000B52FE">
      <w:pPr>
        <w:pStyle w:val="a5"/>
        <w:spacing w:before="7"/>
        <w:rPr>
          <w:sz w:val="16"/>
        </w:rPr>
      </w:pPr>
    </w:p>
    <w:p w:rsidR="000B52FE" w:rsidRDefault="000B52FE" w:rsidP="000B52FE">
      <w:pPr>
        <w:rPr>
          <w:sz w:val="16"/>
        </w:rPr>
        <w:sectPr w:rsidR="000B52FE">
          <w:pgSz w:w="11910" w:h="16160"/>
          <w:pgMar w:top="1400" w:right="0" w:bottom="280" w:left="520" w:header="1067" w:footer="0" w:gutter="0"/>
          <w:cols w:space="720"/>
        </w:sectPr>
      </w:pPr>
    </w:p>
    <w:p w:rsidR="000B52FE" w:rsidRDefault="000B52FE" w:rsidP="000B52FE">
      <w:pPr>
        <w:pStyle w:val="a5"/>
        <w:spacing w:before="58"/>
        <w:ind w:left="897"/>
      </w:pPr>
      <w:r>
        <w:rPr>
          <w:color w:val="231F20"/>
        </w:rPr>
        <w:lastRenderedPageBreak/>
        <w:t>进一步健全基准利率体系的总体思路。</w:t>
      </w:r>
    </w:p>
    <w:p w:rsidR="000B52FE" w:rsidRDefault="000B52FE" w:rsidP="000B52FE">
      <w:pPr>
        <w:pStyle w:val="a5"/>
        <w:spacing w:before="151" w:line="374" w:lineRule="auto"/>
        <w:ind w:left="897" w:right="12" w:firstLine="425"/>
        <w:jc w:val="both"/>
      </w:pPr>
      <w:r>
        <w:rPr>
          <w:rFonts w:ascii="Times New Roman" w:eastAsia="Times New Roman"/>
          <w:color w:val="231F20"/>
        </w:rPr>
        <w:t>2021</w:t>
      </w:r>
      <w:r>
        <w:rPr>
          <w:color w:val="231F20"/>
        </w:rPr>
        <w:t>年</w:t>
      </w:r>
      <w:r>
        <w:rPr>
          <w:rFonts w:ascii="Times New Roman" w:eastAsia="Times New Roman"/>
          <w:color w:val="231F20"/>
        </w:rPr>
        <w:t>1</w:t>
      </w:r>
      <w:r>
        <w:rPr>
          <w:color w:val="231F20"/>
        </w:rPr>
        <w:t>月，财政部发布《企业会计准则解释第</w:t>
      </w:r>
      <w:r>
        <w:rPr>
          <w:rFonts w:ascii="Times New Roman" w:eastAsia="Times New Roman"/>
          <w:color w:val="231F20"/>
        </w:rPr>
        <w:t>14</w:t>
      </w:r>
      <w:r>
        <w:rPr>
          <w:color w:val="231F20"/>
        </w:rPr>
        <w:t>号》，对基准利率改革可能导致金融资产或金融负债合同现金流量的确定基础发生变更或租赁变更等情形的会计处理</w:t>
      </w:r>
      <w:proofErr w:type="gramStart"/>
      <w:r>
        <w:rPr>
          <w:color w:val="231F20"/>
        </w:rPr>
        <w:t>作出</w:t>
      </w:r>
      <w:proofErr w:type="gramEnd"/>
      <w:r>
        <w:rPr>
          <w:color w:val="231F20"/>
        </w:rPr>
        <w:t>了明确规范。</w:t>
      </w:r>
    </w:p>
    <w:p w:rsidR="000B52FE" w:rsidRDefault="000B52FE" w:rsidP="000B52FE">
      <w:pPr>
        <w:pStyle w:val="a5"/>
        <w:rPr>
          <w:sz w:val="20"/>
        </w:rPr>
      </w:pPr>
    </w:p>
    <w:p w:rsidR="000B52FE" w:rsidRDefault="000B52FE" w:rsidP="000B52FE">
      <w:pPr>
        <w:pStyle w:val="a5"/>
        <w:spacing w:before="7"/>
        <w:rPr>
          <w:sz w:val="15"/>
        </w:rPr>
      </w:pPr>
    </w:p>
    <w:p w:rsidR="000B52FE" w:rsidRDefault="000B52FE" w:rsidP="000B52FE">
      <w:pPr>
        <w:spacing w:line="249" w:lineRule="auto"/>
        <w:ind w:left="897" w:right="22" w:firstLine="464"/>
        <w:rPr>
          <w:sz w:val="28"/>
        </w:rPr>
      </w:pPr>
      <w:r>
        <w:rPr>
          <w:color w:val="0A376A"/>
          <w:sz w:val="28"/>
        </w:rPr>
        <w:t>四、中国的国际基准利率改革转换路线图和时间表</w:t>
      </w:r>
    </w:p>
    <w:p w:rsidR="000B52FE" w:rsidRDefault="000B52FE" w:rsidP="000B52FE">
      <w:pPr>
        <w:pStyle w:val="a5"/>
        <w:spacing w:before="6"/>
        <w:rPr>
          <w:sz w:val="35"/>
        </w:rPr>
      </w:pPr>
    </w:p>
    <w:p w:rsidR="000B52FE" w:rsidRDefault="000B52FE" w:rsidP="000B52FE">
      <w:pPr>
        <w:pStyle w:val="a5"/>
        <w:spacing w:line="374" w:lineRule="auto"/>
        <w:ind w:left="897" w:firstLine="425"/>
        <w:jc w:val="both"/>
      </w:pPr>
      <w:r>
        <w:rPr>
          <w:color w:val="231F20"/>
        </w:rPr>
        <w:t>按照借鉴国际共识与最佳实践的总体思路，中国将密切跟踪国际基准利率改革进展，同步推动新基准合约设计与运用、存量</w:t>
      </w:r>
      <w:r>
        <w:rPr>
          <w:rFonts w:ascii="Times New Roman" w:eastAsia="Times New Roman"/>
          <w:color w:val="231F20"/>
        </w:rPr>
        <w:t>LIBOR</w:t>
      </w:r>
      <w:r>
        <w:rPr>
          <w:color w:val="231F20"/>
        </w:rPr>
        <w:t>合约基准利率转换，定期统计境内</w:t>
      </w:r>
      <w:r>
        <w:rPr>
          <w:rFonts w:ascii="Times New Roman" w:eastAsia="Times New Roman"/>
          <w:color w:val="231F20"/>
        </w:rPr>
        <w:t>LIBOR</w:t>
      </w:r>
      <w:r>
        <w:rPr>
          <w:color w:val="231F20"/>
        </w:rPr>
        <w:t>敞口和转换进展，动态评估</w:t>
      </w:r>
      <w:r>
        <w:rPr>
          <w:rFonts w:ascii="Times New Roman" w:eastAsia="Times New Roman"/>
          <w:color w:val="231F20"/>
        </w:rPr>
        <w:t>LIBOR</w:t>
      </w:r>
      <w:r>
        <w:rPr>
          <w:color w:val="231F20"/>
        </w:rPr>
        <w:t>退出的影响，稳妥有序推动国际基准利率转换有关工作。</w:t>
      </w:r>
    </w:p>
    <w:p w:rsidR="000B52FE" w:rsidRDefault="000B52FE" w:rsidP="000B52FE">
      <w:pPr>
        <w:pStyle w:val="3"/>
        <w:spacing w:before="164"/>
        <w:ind w:left="1294"/>
      </w:pPr>
      <w:r>
        <w:rPr>
          <w:color w:val="231F20"/>
        </w:rPr>
        <w:t>（一）推进新基准利率设计与运用</w:t>
      </w:r>
    </w:p>
    <w:p w:rsidR="000B52FE" w:rsidRDefault="000B52FE" w:rsidP="000B52FE">
      <w:pPr>
        <w:pStyle w:val="a5"/>
        <w:spacing w:before="9"/>
        <w:rPr>
          <w:sz w:val="22"/>
        </w:rPr>
      </w:pPr>
    </w:p>
    <w:p w:rsidR="000B52FE" w:rsidRDefault="000B52FE" w:rsidP="000B52FE">
      <w:pPr>
        <w:pStyle w:val="a5"/>
        <w:spacing w:line="374" w:lineRule="auto"/>
        <w:ind w:left="897" w:right="12" w:firstLine="425"/>
        <w:jc w:val="both"/>
      </w:pPr>
      <w:r>
        <w:rPr>
          <w:color w:val="231F20"/>
        </w:rPr>
        <w:t>一是研究新基准利率</w:t>
      </w:r>
      <w:r>
        <w:rPr>
          <w:rFonts w:ascii="Times New Roman" w:eastAsia="Times New Roman" w:hAnsi="Times New Roman"/>
          <w:color w:val="231F20"/>
        </w:rPr>
        <w:t>RFRs</w:t>
      </w:r>
      <w:r>
        <w:rPr>
          <w:color w:val="231F20"/>
        </w:rPr>
        <w:t>计算规则。人民银行组织</w:t>
      </w:r>
      <w:r>
        <w:rPr>
          <w:rFonts w:ascii="Times New Roman" w:eastAsia="Times New Roman" w:hAnsi="Times New Roman"/>
          <w:color w:val="231F20"/>
        </w:rPr>
        <w:t>LIBOR</w:t>
      </w:r>
      <w:r>
        <w:rPr>
          <w:color w:val="231F20"/>
        </w:rPr>
        <w:t>工作组，深入讨论期限利率算法、计息方法、利息支付方案等相关规则，并研究不同计算规则的具体应用方案及推荐适用场景。二是推动银行尽早启动新基准利率运用准备工作。按照“早规划、早安排、早落实”原则，积极推动境内银行在密切监测国际动态的同时，尽早启动系统改</w:t>
      </w:r>
    </w:p>
    <w:p w:rsidR="000B52FE" w:rsidRDefault="000B52FE" w:rsidP="000B52FE">
      <w:pPr>
        <w:pStyle w:val="a5"/>
        <w:spacing w:before="58" w:line="374" w:lineRule="auto"/>
        <w:ind w:left="388" w:right="1688"/>
        <w:jc w:val="both"/>
      </w:pPr>
      <w:r>
        <w:br w:type="column"/>
      </w:r>
      <w:r>
        <w:rPr>
          <w:color w:val="231F20"/>
        </w:rPr>
        <w:lastRenderedPageBreak/>
        <w:t>造、合同文本修订等工作。三是指导银行推出新基准利率相关产品。</w:t>
      </w:r>
      <w:r>
        <w:rPr>
          <w:rFonts w:ascii="Times New Roman" w:eastAsia="Times New Roman"/>
          <w:color w:val="231F20"/>
        </w:rPr>
        <w:t>2020</w:t>
      </w:r>
      <w:r>
        <w:rPr>
          <w:color w:val="231F20"/>
        </w:rPr>
        <w:t>年</w:t>
      </w:r>
      <w:r>
        <w:rPr>
          <w:rFonts w:ascii="Times New Roman" w:eastAsia="Times New Roman"/>
          <w:color w:val="231F20"/>
        </w:rPr>
        <w:t>4</w:t>
      </w:r>
      <w:r>
        <w:rPr>
          <w:color w:val="231F20"/>
        </w:rPr>
        <w:t>月，中国外汇交易中心暨全国银行间同业拆借中心推出新基准利率相关衍生产品，部分银行参与了挂钩</w:t>
      </w:r>
      <w:r>
        <w:rPr>
          <w:rFonts w:ascii="Times New Roman" w:eastAsia="Times New Roman"/>
          <w:color w:val="231F20"/>
        </w:rPr>
        <w:t>SOFR</w:t>
      </w:r>
      <w:r>
        <w:rPr>
          <w:color w:val="231F20"/>
        </w:rPr>
        <w:t>等外币利率的货币掉期和外币利率互换交易，探索和拓展</w:t>
      </w:r>
      <w:r>
        <w:rPr>
          <w:rFonts w:ascii="Times New Roman" w:eastAsia="Times New Roman"/>
          <w:color w:val="231F20"/>
        </w:rPr>
        <w:t>RFRs</w:t>
      </w:r>
      <w:r>
        <w:rPr>
          <w:color w:val="231F20"/>
        </w:rPr>
        <w:t>在相关金融产品中的运用。</w:t>
      </w:r>
    </w:p>
    <w:p w:rsidR="000B52FE" w:rsidRDefault="000B52FE" w:rsidP="000B52FE">
      <w:pPr>
        <w:pStyle w:val="3"/>
        <w:spacing w:before="163"/>
        <w:ind w:left="785"/>
      </w:pPr>
      <w:r>
        <w:rPr>
          <w:color w:val="231F20"/>
        </w:rPr>
        <w:t>（二）探索新签合约基准利率转换</w:t>
      </w:r>
    </w:p>
    <w:p w:rsidR="000B52FE" w:rsidRDefault="000B52FE" w:rsidP="000B52FE">
      <w:pPr>
        <w:pStyle w:val="a5"/>
        <w:spacing w:before="9"/>
        <w:rPr>
          <w:sz w:val="22"/>
        </w:rPr>
      </w:pPr>
    </w:p>
    <w:p w:rsidR="000B52FE" w:rsidRDefault="000B52FE" w:rsidP="000B52FE">
      <w:pPr>
        <w:pStyle w:val="a5"/>
        <w:spacing w:before="1" w:line="374" w:lineRule="auto"/>
        <w:ind w:left="388" w:right="1673" w:firstLine="425"/>
        <w:jc w:val="both"/>
      </w:pPr>
      <w:r>
        <w:rPr>
          <w:color w:val="231F20"/>
        </w:rPr>
        <w:t>一是研究形成新签合约备份条款，明确基准利率转换的触发事件、生效时点、替代基准利率、利差调整规则、计息规则等要素，并推动银行间市场交易商协会抓紧修订相关衍生</w:t>
      </w:r>
      <w:proofErr w:type="gramStart"/>
      <w:r>
        <w:rPr>
          <w:color w:val="231F20"/>
        </w:rPr>
        <w:t>品协议</w:t>
      </w:r>
      <w:proofErr w:type="gramEnd"/>
      <w:r>
        <w:rPr>
          <w:color w:val="231F20"/>
        </w:rPr>
        <w:t>文本。二是择</w:t>
      </w:r>
      <w:proofErr w:type="gramStart"/>
      <w:r>
        <w:rPr>
          <w:color w:val="231F20"/>
        </w:rPr>
        <w:t>机发布</w:t>
      </w:r>
      <w:proofErr w:type="gramEnd"/>
      <w:r>
        <w:rPr>
          <w:color w:val="231F20"/>
        </w:rPr>
        <w:t>新签合约基准利率转换方案，并引导金融机构参考备份条款制定适合本行的基准利率转换方案。三是通过多种形式进行政策解释和宣传教育，推动基准利率转换工作顺利开展。</w:t>
      </w:r>
    </w:p>
    <w:p w:rsidR="000B52FE" w:rsidRDefault="000B52FE" w:rsidP="000B52FE">
      <w:pPr>
        <w:pStyle w:val="3"/>
        <w:spacing w:before="163"/>
        <w:ind w:left="785"/>
      </w:pPr>
      <w:r>
        <w:rPr>
          <w:color w:val="231F20"/>
        </w:rPr>
        <w:t>（三）研究存量合约基准转换方案</w:t>
      </w:r>
    </w:p>
    <w:p w:rsidR="000B52FE" w:rsidRDefault="000B52FE" w:rsidP="000B52FE">
      <w:pPr>
        <w:pStyle w:val="a5"/>
        <w:spacing w:before="9"/>
        <w:rPr>
          <w:sz w:val="22"/>
        </w:rPr>
      </w:pPr>
    </w:p>
    <w:p w:rsidR="000B52FE" w:rsidRDefault="000B52FE" w:rsidP="000B52FE">
      <w:pPr>
        <w:pStyle w:val="a5"/>
        <w:spacing w:before="1" w:line="374" w:lineRule="auto"/>
        <w:ind w:left="388" w:right="1688" w:firstLine="425"/>
        <w:jc w:val="both"/>
      </w:pPr>
      <w:r>
        <w:rPr>
          <w:color w:val="231F20"/>
        </w:rPr>
        <w:t>一是密切关注国际存量合约基准转换动态，研究推出境内各类存量产品基准利率转换方案。二是根据境内国际基准利率改革进展，督促境内机构</w:t>
      </w:r>
      <w:proofErr w:type="gramStart"/>
      <w:r>
        <w:rPr>
          <w:color w:val="231F20"/>
        </w:rPr>
        <w:t>停止叙作</w:t>
      </w:r>
      <w:proofErr w:type="gramEnd"/>
      <w:r>
        <w:rPr>
          <w:rFonts w:ascii="Times New Roman" w:eastAsia="Times New Roman"/>
          <w:color w:val="231F20"/>
        </w:rPr>
        <w:t>LIBOR</w:t>
      </w:r>
      <w:r>
        <w:rPr>
          <w:color w:val="231F20"/>
        </w:rPr>
        <w:t>产品。三是待相关转换方案和配套措施完善后，督促金融机构尽快落实转换要求，与客户达成补充协议，实现存量合约基准转换。</w:t>
      </w:r>
    </w:p>
    <w:p w:rsidR="000B52FE" w:rsidRDefault="000B52FE" w:rsidP="000B52FE">
      <w:pPr>
        <w:spacing w:line="374" w:lineRule="auto"/>
        <w:jc w:val="both"/>
        <w:sectPr w:rsidR="000B52FE">
          <w:type w:val="continuous"/>
          <w:pgSz w:w="11910" w:h="16160"/>
          <w:pgMar w:top="1520" w:right="0" w:bottom="280" w:left="520" w:header="720" w:footer="720" w:gutter="0"/>
          <w:cols w:num="2" w:space="720" w:equalWidth="0">
            <w:col w:w="5090" w:space="40"/>
            <w:col w:w="6260"/>
          </w:cols>
        </w:sectPr>
      </w:pPr>
    </w:p>
    <w:p w:rsidR="000B52FE" w:rsidRDefault="000B52FE" w:rsidP="000B52FE">
      <w:pPr>
        <w:tabs>
          <w:tab w:val="left" w:pos="10063"/>
        </w:tabs>
        <w:spacing w:before="51"/>
        <w:ind w:left="7024"/>
      </w:pPr>
    </w:p>
    <w:p w:rsidR="001D703D" w:rsidRDefault="001D703D">
      <w:bookmarkStart w:id="0" w:name="_GoBack"/>
      <w:bookmarkEnd w:id="0"/>
    </w:p>
    <w:sectPr w:rsidR="001D703D" w:rsidSect="003B796A">
      <w:headerReference w:type="even" r:id="rId7"/>
      <w:headerReference w:type="default" r:id="rId8"/>
      <w:pgSz w:w="11910" w:h="16160"/>
      <w:pgMar w:top="640" w:right="0" w:bottom="280" w:left="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61" w:rsidRDefault="00D00461" w:rsidP="000B52FE">
      <w:r>
        <w:separator/>
      </w:r>
    </w:p>
  </w:endnote>
  <w:endnote w:type="continuationSeparator" w:id="0">
    <w:p w:rsidR="00D00461" w:rsidRDefault="00D00461" w:rsidP="000B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61" w:rsidRDefault="00D00461" w:rsidP="000B52FE">
      <w:r>
        <w:separator/>
      </w:r>
    </w:p>
  </w:footnote>
  <w:footnote w:type="continuationSeparator" w:id="0">
    <w:p w:rsidR="00D00461" w:rsidRDefault="00D00461" w:rsidP="000B5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6C" w:rsidRDefault="00D00461">
    <w:pPr>
      <w:pStyle w:val="a5"/>
      <w:spacing w:line="14" w:lineRule="auto"/>
      <w:rPr>
        <w:sz w:val="20"/>
      </w:rPr>
    </w:pPr>
    <w:r>
      <w:rPr>
        <w:noProof/>
        <w:lang w:val="en-US" w:bidi="ar-SA"/>
      </w:rPr>
      <mc:AlternateContent>
        <mc:Choice Requires="wpg">
          <w:drawing>
            <wp:anchor distT="0" distB="0" distL="114300" distR="114300" simplePos="0" relativeHeight="251662336" behindDoc="1" locked="0" layoutInCell="1" allowOverlap="1" wp14:anchorId="3BB338F7" wp14:editId="659D2250">
              <wp:simplePos x="0" y="0"/>
              <wp:positionH relativeFrom="page">
                <wp:posOffset>899795</wp:posOffset>
              </wp:positionH>
              <wp:positionV relativeFrom="page">
                <wp:posOffset>683895</wp:posOffset>
              </wp:positionV>
              <wp:extent cx="5580380" cy="216535"/>
              <wp:effectExtent l="13970" t="0" r="6350" b="4445"/>
              <wp:wrapNone/>
              <wp:docPr id="2040" name="组合 2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216535"/>
                        <a:chOff x="1417" y="1077"/>
                        <a:chExt cx="8788" cy="341"/>
                      </a:xfrm>
                    </wpg:grpSpPr>
                    <wps:wsp>
                      <wps:cNvPr id="2102" name="Rectangle 35"/>
                      <wps:cNvSpPr>
                        <a:spLocks noChangeArrowheads="1"/>
                      </wps:cNvSpPr>
                      <wps:spPr bwMode="auto">
                        <a:xfrm>
                          <a:off x="1417" y="1077"/>
                          <a:ext cx="454" cy="341"/>
                        </a:xfrm>
                        <a:prstGeom prst="rect">
                          <a:avLst/>
                        </a:prstGeom>
                        <a:solidFill>
                          <a:srgbClr val="0A37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3" name="Line 36"/>
                      <wps:cNvCnPr/>
                      <wps:spPr bwMode="auto">
                        <a:xfrm>
                          <a:off x="1417" y="1412"/>
                          <a:ext cx="8788" cy="0"/>
                        </a:xfrm>
                        <a:prstGeom prst="line">
                          <a:avLst/>
                        </a:prstGeom>
                        <a:noFill/>
                        <a:ln w="6337">
                          <a:solidFill>
                            <a:srgbClr val="0A376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04"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23" y="1092"/>
                          <a:ext cx="148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5"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0" y="1086"/>
                          <a:ext cx="27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2040" o:spid="_x0000_s1026" style="position:absolute;left:0;text-align:left;margin-left:70.85pt;margin-top:53.85pt;width:439.4pt;height:17.05pt;z-index:-251654144;mso-position-horizontal-relative:page;mso-position-vertical-relative:page" coordorigin="1417,1077" coordsize="8788,3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gKKFvYEAAB9EwAADgAAAGRycy9lMm9Eb2MueG1s7Fjb&#10;buM2EH0v0H8Q9K5YkmXrgjgLx5dggbQNuu0H0BJtESuRKknHSYu+9aGP/Z9+T9Hf6Awp+RLbTXYD&#10;FG0RA7ZJ8aKZM3MOR7p891BXzj2Vigk+coML33Uoz0XB+Grkfv/d3EtcR2nCC1IJTkfuI1Xuu6sv&#10;v7jcNBkNRSmqgkoHNuEq2zQjt9S6yXo9lZe0JupCNJTD4FLImmjoylWvkGQDu9dVL/T9YW8jZNFI&#10;kVOl4OrUDrpXZv/lkub6m+VSUe1UIxds0+ZXmt8F/vauLkm2kqQpWd6aQT7DipowDjfdbjUlmjhr&#10;yY62qlkuhRJLfZGLuieWS5ZT4wN4E/hPvLmRYt0YX1bZZtVsYQJon+D02dvmX9/fSYcVIzf0IwCI&#10;kxqi9Ofvv/zx26+OuQQIbZpVBhNvZPOhuZPWTWjeivyjguHe03Hsr+xkZ7H5ShSwJVlrYRB6WMoa&#10;twDfnQcTiMdtIOiDdnK4OBgkfj8Bc3IYC4PhoD+wkcpLCCcuC6Igdh0YDfw47sZm7fIkTiDtcG0/&#10;CnCwRzJ7W2Nqaxr6BUmndriq1+H6oSQNNeFSCFeHa+CHHa7fQj4SvqqoYx1CA2Bmh6qykDpcTEqY&#10;RsdSik1JSQGGWT8OFmBHQUCexfgEWB3S0SA6jRTJGqn0DRW1g42RK8F2E0Byf6u0BbWbgvFUomLF&#10;nFWV6cjVYlJJ554g78b9eDhu43AwreI4mQtcZne0V8A6uAeOoZ2GRz+lQRj512HqzYdJ7EXzaOCl&#10;sZ94fpBep0M/SqPp/Gc0MIiykhUF5beM047TQfSy2LbqYtloWO1sRm46CAfG9wPr1YGTPn5OOVkz&#10;DRJXsXrkJttJJMO4zngBbpNME1bZdu/QfJO6gEH3b1CBJLaBtxm8EMUjJIEUECSgDIgxNEohf3Sd&#10;DQjbyFU/rImkrlO955BIaRAh0bXpRIM4hI7cH1nsjxCew1YjV7uObU60Vc91I9mqhDsFBhguxkDw&#10;JTOJgfZZq4w4GJL9c2zrd2wz8e8PMSYtbyb8Tra9TyROFIS4j01IlKidxnRB74StI0XLmwqy8O94&#10;s81+klUck23Y78fPJdtZRuHNp0SVlnkmXa3dcJS0yXYu8eD2rYPH3PPTWTJLIi8KhzMv8qdTbzyf&#10;RN5wHsSDaX86mUyDQ+4ho1/PPbRni88eNazMgKq/iBoQN0MZkPqry4blGXxb26B1pAvP1xywSq+R&#10;UbZuqV+0R03kx3XjwbHfEM0WrGL60ZQwEGs0it/fsRxPV+wcHB+g0PZYhgl4XwfyA3zq5tlVoNcs&#10;Nyfy7vhQDWg2MnR36ehEOdylh90DSxYVazpVx3brM4jAkxLkBGy2vJmKfF1Trm29JmkF7guuStYo&#10;UJ6M1gtawPHyvrBKckr7w2Ts+2l47U0G/gTyL5554zSKvdifxZEfJcEkmHT5t1YUYCDVtGGvT8D2&#10;AEO4T2UbyRASzFIlczzcjUQoLanOS7y8BBq012H9dsDAvEMWQX+RHiXDENTNVD3pEz0Koq7mCa3k&#10;bWueTz7Jt4xDRXpCwX+pSJw/l+fm0wZwb9pZNXmrOU6mepejQARswvc/qaWDIy1N/pdaGpoK4k1L&#10;zz94Jn2sfI2WJqZG3NV2Ydw+PsITR6scZ4q75x6K3qT07fHtqEY9JaXmxQS84zF1Rvs+Cl8i7feh&#10;vf/W7Oov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wQUAAYACAAAACEA2MqI&#10;d98AAAAMAQAADwAAAGRycy9kb3ducmV2LnhtbEyPQUvDQBCF74L/YRnBm91NtbbEbEop6qkIbQXx&#10;Ns1Ok9Dsbshuk/TfO/Wit/d4jzffZMvRNqKnLtTeaUgmCgS5wpvalRo+928PCxAhojPYeEcaLhRg&#10;md/eZJgaP7gt9btYCh5xIUUNVYxtKmUoKrIYJr4lx9nRdxYj266UpsOBx20jp0o9S4u14wsVtrSu&#10;qDjtzlbD+4DD6jF57Ten4/ryvZ99fG0S0vr+bly9gIg0xr8yXPEZHXJmOvizM0E07J+SOVdZqDmL&#10;a0NN1QzE4TdbgMwz+f+J/AcAAP//AwBQSwMECgAAAAAAAAAhAAxOfqE6JwAAOicAABQAAABkcnMv&#10;bWVkaWEvaW1hZ2UxLnBuZ4lQTkcNChoKAAAADUlIRFIAAADGAAAAIAgGAAAASYYHwgAAAAZiS0dE&#10;AP8A/wD/oL2nkwAAAAlwSFlzAAAOxAAADsQBlSsOGwAAIABJREFUeJztfHVUVNvb/3Om6e5upVRE&#10;RMAAQRG4KiaKiRhgIHY3NigqJl4UA0VBAQNMBAQJRemQlu6cPHPeP8ZzHccBuV5/7/f3ftf9rDVr&#10;zdn57H32s/dT+wCGYSD4yyn9Yu7uH/L4fUGlpbD8/+1faXWjwegFAR/vP8+a87vbZrLYFHf/kMfZ&#10;hVUWgynP5XIR/uc78Rnz7yZkzkNRlPCrNFTXt2r6n7hzrqC8zvjv1Lt4L3H13gsxAb9jHhpaO5UY&#10;TBYVfw6+9WJDaHTyyv/0u/9P/UggBD29DImE1HyXNR4Op4TlCwJFucS1xyIuDaasILYsmRygrSpf&#10;0V8+hmHIjjPRJ3NLa4cdC4vf7Wxr+lhMhNo7UJtcLpdw8f6bNTQKmYEgCMafx+agZCdr43gdNfly&#10;AAASkcBJSM132bDQ6Vh//dc3d6pmFVRavc4sdkz9+Hns88sb7CTFRLp66Uyx7WeiA9d42J8mEAjc&#10;Xxk/AEAvnSV2OSrZt6uXIRm6d/GiwdZ7X1g1qrC83mTfqqk7AQB6+pjim0/dC+6v/HpPxxNG2spF&#10;wvKO/fl096OknGnvI3YbS4jRuh8l5UyXlhBpX+Zu90vv9f86hDIGkUhAAQBIJAJnMI0QCAj3xqO0&#10;pQvdxoSNMNJ4P5g6ze09igGhj/f5zJlwZqBydxIyPR8n507d4e2y/1lqwZS5Wy7FRBxd4S4hRuvu&#10;rw6GAfI4KWcaVYAxMAxD2ByUPMxQPRtnDDyfSOCNmR+l1Y2GE5cHprZ29soBAJgZqH2ytxry4nN1&#10;k6HFUK2sI1ef7mls7VK+/SRj0b3n7z3weluWOAe4O4y4/z1NGJKRV2HdH82WxloZ4iLUnvTc8jGC&#10;eQQCwh1lopMumE4mEtn8dCMIYOFxaV7mhuofVRWka/H0L43tGnmfa83XezqeENY3i82hxCR+mjHH&#10;aWQEPq8IAtg/Yfb/6yB19dIlBRMZLDYNAIDJ5NCE5YvRqL048wDwFheCIJjj6KEJMyZa3BtMx2U1&#10;zfoBoY/3ERCk38lPzCp2WHc04tJYC4M3W5Y4B3hNs73suDIoxXFF4NvIk6umaqnIVQqrRyQS0Mfn&#10;/CYOhg6cMQRPFgAAA02lkvM7FyzTUpGtHL/sRPpx/1nrx1kYJgIA5JZ+GRZy9/X6aweXztNWlasA&#10;ADh/N9EvPbdizBRb00fC+nFbe/YFB+WSqGQSUxgtRRUNxnfiMxfwpzHZHKqkGK2rKv6YgmB5AgHh&#10;Egjf5g+fy/WejifmTh51G08/fevFpp1nH5zQVJatEtbv9djUZQ0tnSotnb3yR64+2QMAUFXfpt3c&#10;3q2IP+Ngc1DyGg+HU7JSYm3C2gIAqGvqUPszJmVF3uc6cwQBTEdNoWyYoXq2k7Vx/ED18Paz8iut&#10;3rwvcSipahiioiBdO23C8OhRJtrpwt4RjoLyOpOwh29X1DS2a5KIBI6RtnKhuYH6R2dbk8dUClno&#10;fAvDyoM3wjp76NIkLedtzSw2hyKs0HT/kKfC0rPv7hliqKVULCyvvatPxv/EnfM0KoWOIPDDQNhs&#10;lDLLaeQdA03h9XE8TytwnrftcrSJnlru3eMrp5FJRLaKgnTd0xA/e2ff4EQrz4DcLUucA7xnjL0g&#10;JS7SKVj/Y1G1xfhlJ37YZU301XJTr2+zWH341pWbj98twdOdVgUlExCEKysp1lbx9KgSnu42zjwG&#10;4HvGaW7vVli482rkTEeLu65jzWMJCMJlsNi0VxlFTtuXuewH4ImX/JsHAG8hH/KZvmX1XPt+xR1B&#10;BIY/23Y+MnEd/vwyvXBS/Ns8VxKRwMnIrRjT0tkrvz04KpDJ5lAD1rhv5q/7KqPIsaq+VSfiSfoi&#10;LRW5ShEahS7YfmcPXepoWPxuI22lot4+pnhuae0wAIA+OlOMzUHJ+DMONgcls1GU3B+95V+a9SYu&#10;D0xtau9WFMxTlpeqP79jvvdkG9Mnwur29DHFnX1PJ2YXVY/kTz9988Xmec5WN0N2zPcWtsiTPpRM&#10;mOYXkiBsHZvoqeaF7l280NxQ/WN/NONAUS7xTnzGAg7KJZHIJAJ7+Qz7C+vmTwzEC+R9rjWfufHC&#10;o1tHvGdZGmtn4OmRzzLn7w6JOUohE1n9NU4mEdkWQ7UyRahkOoIgWMjd1+tV5KXqZky0iMQwDGGj&#10;KFlRVqKxv/ocDko6dfP5loNXHh+wG66fdOf4iumSYiJdeL6milxVUtiWUT6Hbv6553zMkRPXEnYs&#10;nWZzZd6U0TdM9VVz8OOfSCSgHJRLyri10wxnnPC4NK+nb3Pd8PzJNiZPAjfOWTvUfU/lzQDv2fUt&#10;narHr8XvxPtqbu9W6OljSoiJUHswDEM6u+nSXxrbNepbOlQ1lGSrG1o6VRUm+Pfy79qbT90L3hgY&#10;efbOsRXuf4wf9pB/bFwuRvjZyxEEjUqmi9Eof+lUdc0damk55bZkEpHd1Nat1MdkiaZ+KrdjcX5c&#10;FC0dPQprjty+LEIl0w+snrZNWPthMW+Xt3f1yj6/6D9WV12hDE+f7HPqjZyUeMvto8tnDpbW7l6G&#10;xKxNFx7hTDHSWCtzlIl2upgItYfJYtPORyaum7XpYlzGrZ1mQ3VUCvjrsjkoecHO0HvZRdUjqRQS&#10;03a4fpKSnGRD/Ns8t/auPpmI+IwF8jLizUf9Zm7gr1dR26I7b+vlByw2h0IgINxxFgaJZgbqnyhk&#10;ErOhtVPl1uP0xX+sO/s8N2qfHv86EoaE1HwXDsolAXzVMSTFaZ3qSjI1eIHmrwNTlJVs5E+XkeQd&#10;g8LEHwR4p4O4KLVn3fyJQXh6zOuPM4fqquR7zxh7kb98WU2zPgBPlsXT0nPLx2w5FXU6q6DSym6E&#10;fpKakkzN/otxAQh8f4Qy2WyqpBity3a4fnJja5fymYhXG87eee3/8vIG29FmumnfDzbPVYRK6QPg&#10;MTyGAcLrF8HERKi9Gsqy1QgCmJKcZAOLw6Hwnwxxbz65bwq6d4aAIFwmi0P12nvtFgflkpLCtoyK&#10;O7vWicliUylkEkvwiFeZuLFTUFzCMAx5GuJnr6EsW3024pV/WU2TAYlI7FeHY6MoeYi2csHqufbB&#10;/CfMQrcxYQvdxoQBAKw7FnExv6zO7OXljbYAAAwmTwTG4WJnFpcXtV9PQ0mmmkQS3td6T8eT0+2H&#10;Rw1kABksjoXF7yqubBwCALB92ZQDO71d9/HPjZaqXMXmoPvBu0MeHrt/0ucP/roRT9MXPk8rcEYQ&#10;BIsK9HW1H2X0Eh+T06qg5A+F1Zbn7rxe7+lqfc1MXy0Hr7fhZOS5jm66NIIgWNiBpfNnOY68i+dh&#10;GIaQiUT2tdhU78Dw59v2+0zd0R/tL9MLJ604GH4dfxaqfP8MA8l6AACvM4snYhiGEAgIt62rV/ZL&#10;Y7tGYlaxA4YBwmSxaQ5WQ54Lq9fR3SdT3dCqde/EqqmqClK1J8OfbScSCCiZRGAnfyid0NXLkHQd&#10;axaLYYAgCII5WA15vnnx5MMv0wsnFZTXmfIzhSiN2jvdfnjU+4KqUd/oBsx2uF4ywDdG/nFs39KX&#10;TrO94jXd7vLVBykr1x2LuBgV5OM6zsIwEcMwpLG1Szn0QfIqCunH05PB4tAE5whBEMzShHf6cjgo&#10;mcnmUFEul4jnh8WkLnewGvJcS0W2EsMA4aBcEr57DQatnT1yYjSete5w6JN9V6KSfAXLeLpaX186&#10;zfYKAG9j2ncx9jCNSqYL2+hKKhuHUKltjJUHb4QJ5mGAIVQyiXl22/yV/OmxiR9nAAAoykg0bVs6&#10;5aDgHDiMGvocgCcmszkomUwisvG8uDc50wEAvKbbXsaZAgCARiUzrh/08hg2Z38Jl4sRwmNTl53Y&#10;MNsPgHdCvcoodAIAGGdhkMjPFAC8OXewGvL8Wmyq99OU3D8EGWPdsYiLKMolllQ1DnmXW27Df6L/&#10;EmPwiw7CcOb2y42dPX3SBAThVtS26DW0dqk0tXUpYQAInckWsTbXfSus3mQb0ycF0Qd0cFn45mHv&#10;2XieT8DNqxW1LXqCLwMAYJKNydNJNiZ/6UMYhiEsDoeya4XbHsGyADxZtj/a+U8n/MU+SsqZBgBQ&#10;XNEwlMvFCBMsjV5xUJTU1tkrRyERfzgxMAxD+msfAMB/odNxwbTwuDSvFTPHncd1msGAg3JJlXWt&#10;OlP9ziVU1rboZtzaaQYAoKehUJpbWjtMRUGqzm64flJXL0MyLObt8jXzvpnfSSQCR15avJlGIf1g&#10;0gYAmDfF6kZ//WIYhpDJpB82hNbOHnkAAGc700fCTigMePPCQbmk8i/NerjpuJfOFHuVWeQEADBp&#10;jMkPeq2uukLZcCONDx8Kqy3f5Zbb4OldvXQpfPNwGWsWK5RW4EkIpdVNhoJ639UHKT+sJRwkAIC8&#10;z3XmEfEZf1lDqupadQAAXrwrmFxV36qNpw9kbuSf3AenfF3w/3+sPft8qK5K/qbFkw/fTcj0XD13&#10;QjCBQOC2dvTKC9YDABChUegsNk+k4d9RBMHhoKQ+JksUAECY7GjlGZBLJZOYFIEX2NlDl3oS4ueA&#10;IAj25n2J/bT15+K5XIyw9XTUKQaLTcNfHo6Sqkaj1E+fxxIICPfWk/TFX5raNbJu7zJRU5T5Erhx&#10;zlphtIXFvF0+EHO8yym3eZ1Z5Dh7kmWEvoZiaX/lhOFJcu4fSR9K7F9lFDnll9WZilDJdA0lmWqf&#10;2ePP4qfd3MmjbslKibWiKJd0eN2MTW/el9iHxbxdbjtcPwlvR0tFrvLU5rmr/07fg4WirKRQHZJ/&#10;Tqrr27Rxxkj+UDoBFwP72zTHjjB486Gw2vJzdZMhhmGI4Lr5WZ8sNofS2NqlrKr4zYwdcXT5DP6y&#10;rzKKnK5EJ/sAfGWM9Jxym8q6Fh28AJ3BFgUAuPc8a56YCLUHT+/soUsD8DheGBEDobS60Wh3yMNj&#10;TBabtmnx5CMDlQ2PS/PyO37nAsA3xsEHKD5mDZf/2VhXJT/z9i5T/voIgmBEAgEN3uLhw0G5pMVT&#10;ba4+Sc79w2KoZpae2446KpnE5KAoSVNZtmq2k+WdF+8KJ9tbGb3o6qFL4Uc6jsOhj/fNmGgReSc+&#10;c8GOZS7791+KO1RU0WBcWt1odPVBykpByxMAQA+dKc7ioEItfQAAb94XOwSEPtknuCufv/vaL/bN&#10;R3f8GeVwSXLS4i3H/Wetx9My8iusw+PSvKY7jLgvJyXWwuKglJAdnssBAJgsNhUvN8xQI/vPh7wd&#10;MSW7dLypvlqOgoxEszB6gm482/o4OXdqf/Ty4+Dq6VtthumlCMsz0VPL7e5jSOiqyZcJy+dwuH9Z&#10;syTEaH9tZnXNHWoAANISIh3y0uItwurqfd1AunoZks3tPQqKshJNJBKRjVubVOSl6oTVY3NQoX0C&#10;AEydMPwB/3PbV38VAACJzeGSl82wu7hrudtePDG7qHqk3ZJjWZd2L1rCPwkPXmXPWrAj9B6TxaFC&#10;P+hjsEQRAAw/SrkYl4ByuUQrU513kcdXThtmpJEtzDfCD7dx5jHDjTQ+9DJYYrJSYq0AAAFXHu//&#10;0tiucWHXAi8AgOLKhqH66gqlA+k7ZDKJFXjjyTab4XrJ289EBz4N8bPH82gUMmOYkUb2Alfraz4B&#10;N68625g+tjbXTQ3aNHcNXiYrv9Lq/osPcxNDN1lHPM1YSKGQmK9DN42hkEksBRmJJnUl2WoiEfmB&#10;MQAAhmh/b3XBgWEYEvXiw9zRZjppggqvhBitS1762+LlcFCytIRoO3+ZdfMmBm5Z4hwgSqP04co3&#10;nsc/F65jzWK3BUcFfSquGRGZkDV/uoDDkR+Vda06NQ1tmtuXuRzor0xnd5/0znMPj9OZLJH+yjy7&#10;6D+uvzwA3rrC6cQdrAAAXT10KQAAKoXM6K8ulfLNmNHVS5dSlJVoUpKVbEwL3z5ioD4/FtWMBABQ&#10;lJVoFBf9tsn/DKTsu7uHSImLdgymsNs485j6lyelcCWPH/hLOX4tfueJawnfKTmJWSUOF++9+WvB&#10;jTTWygzbv3Q+wPcyPQ5lean611nFE9cdjbj0MXKPkZqizBcZSdG2ju4+GTN9tRwU5RL/WHvmhYme&#10;au6js+schdGKIAjWR2eKLXMfe/FletEkSXFaJy56IQhguAL3PZ3FDskfSifs/qqbFFU2GNuN0E/C&#10;lWYMA4RCJrEqalt0pSVF2iXFVTsr61p0jbSVC+duvhRzeouHj5G2clFhRb1xVn7laJexZnGCfWTk&#10;VVjnl9WZmhmofWKxORR+UW+h25iwn+kYP3OQ4dBVVyizH2X00m3t2RedvXSpRW5j/uyvLIIgmJy0&#10;eAuumAtDfXOH6s5zD48TkF/zhqMol4j7Y8aPNHitJCfZgOd19jCkAABEqOQf/Cw4KHxWPkHrW39o&#10;7+qTufEobSkAwGwnyzs/Mxrxg6CtKl8hI/n9rtQfyCQiW1JMpEuY+IBj6xLnQ+3JwdTu1LPEnrRz&#10;BMFfZ8oZMv/O3R8mWg19RiAg3NM3X2wWzEvLKbNtbu9RWDzVNnSgwXZ098k8Sc6ZujEw8iyZRGRn&#10;5Fb8EG7Bj+5ehmRg+LNt7V19MgAAni6jr4fuXbwQgLfT4+Lb/ouxAQcvPTqY9L7EfsKyk+/ERag9&#10;ze09igmp+S4AAA9fZc9afuB6ON4OP0IfpKxSVZCuZbE51CW7wyL4xZ9/CkG9xmfOhDNtXb2y1ma6&#10;qbrqwsWb/w1gGIZsPxMdmPe51hwAYNNi58P8+V29vBODNtCJwccYg1ngTBabunRv2O2uXoakmAil&#10;13fuhEE7VQH6sUrhE/wz64og2ByUjDPNQHoImURkC3NI8UNRVqIpYI37Zl11hc+CeVEvPsw11VfL&#10;meVocVdYXQDeqaCmJFMTd2atk4TNWjR07+KFuuoKZcsPhF8XjJ/CMEBeZhROqm3qUGdzUPLTlNw/&#10;5ruMDkcQBMP9OBgAgivmn0q+jDi4evpWXH4lEAjcoM1zVqsrytS8yym3WTtvYtCFyMR1V6KSfLcs&#10;dQ7A+3qdWTwx4mnGwusHl3qMGKL53mXNmVfOvsGJu5a77sWtJ/8ETPY3Ebelo0f+wMW4Q2qK0l9S&#10;P5XZbT0ddWq/z9TtwrzfCADW2U2Xjk38pt8Ior2rT/ZXaMIwDNkUdO8MLjGsmDnuPL85FuDbCTDQ&#10;guc3ow9klAEAoDNYIh7bLj948a5wMgDAkXUzN/5dP43QxYvrEH9HyUa5XKLX3mu3vPZeu/V3COCg&#10;6Hd9rDp088+k9yX2ojRKHwWXK0MAaurbtJhsNtVm8dEPJZUNQyREad2W8w/ls9gohYNySa8ub7Th&#10;tzgIoqG1S+VleuEkfFw7zkSfLKioN/n41dP6NvvzOGtz3beWxtoZT9/muc13GR3OXx/DMAQwQGoa&#10;2jRLq5sMrUx10tI+ldkB8HancRaGiQwmm2bhcbDwqN/MDT5zJpzhn7/XmcUTPbdfibK3NHo5Y6LF&#10;PQRBsOSwLZarDt0Mm+p3LgEAYHfIw2NhMW+Xi9EovUQiAWWyONTuPoZEZw9dOjZ4zSRpCZ7Im55b&#10;PibuTc70l+mFk/iVTtxokve51nzvhdgjDCZL5PmlDXZZBVVWvgG3rt57nuVx/ZCXBx7vhQNBEKy+&#10;pVN1d0iM0Ahj/veECryvgcDlcgn+JyNDQqOTVwEAzHIcefeE/6wfRFhBy6Ew8DONKI3nsBWGPgZL&#10;dM7mi7GvM4snAgDs9Hbd9ysRwkIH2dVLlxIXpfZwOP3HxPADRblEFOUSbwQsmzPYIMLyL816YxYd&#10;+SjYx7QJw6JthummkIhEDgiJtRIEl4sR6QyWiLgY9btoW3xRIgiCVScck6dRyAyvvdduTZ0w7IGh&#10;llJRRw9d2lBTqXi9p+MJazPdVBqVd4yryEvVZRfXfBerw+agZC4XI7A5KLmjhy693tPxhKKsRJPk&#10;11ATFcdNnWI0ai+dyRIhEgnoFDvTRxpKMtX80akiVDJ9iI5ywbkd85fjL1lBRqI5KtDHraSq0Sgh&#10;Nd/lU3GNRWtnr1xjW5cyg8mh4YtxqI5KAc4UAADaqvIVwbdfbDLWUcnfsHDSX4u5j8HToYz1VPMc&#10;Onufr/GwP2WgqVRioKlUYqChWHIlOtln7AiDN4JziGEYMkRHuWAgRba5vVth2vqQBApFeADkj++F&#10;S1h7NOLStdhUbwCA+S6jwy/s8FwmzL+BW4sGklD48/gtpfzopTPFZm288CjpQ+kEAIADvtO2b1w0&#10;6ehg6BXW4T/+cblcpL65Q6WPzhT5T18wwemJeZ3t/qWxTV0w/VfaQ1GUkF9Wa9LZ0ycpmFdV16L1&#10;LqdszPuCSsu8z7WmPX0MsYHo+l1jbOvslRFMY7M5pF95D9mFVRaJWcX2v4s2DgclrjgQHiY62hcT&#10;He2LbTwZeWagi1zHw57uEB3ti1nMPVDQX5nIZ5keeHtMFpsimN/VQ5dwWhmUJDraFxOzXs29EpW0&#10;6u/SHfYwxRvv45c834JAEARTlpeq/x1t/Q4gCIIJ2qjx9F9pj0AgcI11VfOF5WmqyFVpqsgJDef+&#10;Xf0LgzCDCYlE5PzKexg+RPPD76GKJz2sPHQjLOJpxkIAgB3eLvt3LHPZP9DYJX4S3AfwTcchk4hs&#10;QdGrq5cu6e5//um7nHIbEpHAubJ38aI5kywj/sk4fgtj/It/gWP9iTvncaY47j9r/WBC7PFo67bO&#10;XjlMiFcbAKChpVMFAAD3a+Fgc1Dy7E0X497llNvQqGTG7SPeM/sLa/87+Nth0P/iX/SHT8U1I/58&#10;+HYFmURkXz/k5THYeyfjLQ1fEYkEtKm9W7HyaziSIArK600BABxGDXnBn37vWda8lOzP4+SkxFqf&#10;hvjZ/w6mAPiXMf7Fb8SlqKTVAACLp9pcFYx0HQhyUuKteIRFSnbpeMH8nj6mOG5RnGJn+p3T9NJ9&#10;Xp+7VrjtsTLVefdP6OcHCYAXvns+8rXf+4KqUSJUCn3V7PFnxwzTe9vU1q0Y9eL9XJ85E87yV4p/&#10;m+cqKyXW+quEYBiGbA66/91uIiUh0rF7hdueA5fiDu5Z+cfuXx/SwLh4780a94kj7in1E3R25OqT&#10;PVuWOAfwOzHZHJR8OSrJN/lD6QQqmcScPckyAvdQV9S26GqrylX0J0Pfe57lYaKnmiuoo+DjDI1O&#10;XuU61iy2tKbJEEUxov0oo5flX5r1+C8N9Yes/Eor/quwJBKB42RtHD9x9NBng52Pv4OWjh55MonI&#10;FnZjEoB30QeAd3/977Y9xc4sLvlD6fi9F2IPO1kbx/PrSjGvs2f2MViiJCKB42htnICnt3b2yGUV&#10;VFr9ap8DgcRgsmkTVwSmznIceefQGvctdc0daisOhl8/s3X+SnUl6Zq4N5/cBRlDQozWJTKALXkw&#10;uPowZeWtw96z8GcqlcQA4IWD/JN2fwY5abEWErH/jzzcepK+eMNCp2P8jHH8WvzOyrpWnR3LXPb3&#10;MViifsfvXCASEHSKndkjt7VnXuTe36ffH2MkvS+xlxCldQsyBh4S8Sg5Z9poc91UcRFqD8rlEpks&#10;NnX6+pD4nPv7DH42lpLqRqPK+hYdv/mOJwF4QZ4+ATev3j6yfCYexvI7sXx/ePjhde6bhDFGR3ef&#10;NK4H7L0Qe/jUzedbBmrLe8bYC75z7P/6EIbXNNvLkQmZ8z8W11g4rgxKmWJr+miIjkpBVw9d6sif&#10;vHvnu5a77uXvu6iiwRj/77kj9P5AISUAAMf8Zvk7jTGOH8xYSbeepC820VPNxT20hlpKxac3e/h2&#10;9vRJqytJ17A5KHl3yMOj9c2danMmWd6eZGPylMFki9AoZEb5l2a9d7nlNpl5ldZ9DJbo0mm2V6zN&#10;dVO7eumSFyIT1xVXNgxVlpOqX7/A6biirETTdx0TCRxhsUQdX8MorsemLhOhUfri3+a66agplG1c&#10;NOmoKI3Sl/qpzO72k/RFDCZbxNnO9NEsx5F3Uz+V2dU2tau/eFc4WYRKpq+bPzFQV12hrL2rT+bM&#10;7Zcbq+pbdCaNMX3i4TzqVk8fUwL3SVyOSvL9UFA1SkpCpGONh8Op/nbpnJIvw5fPGHsBj+QM3uLh&#10;09rZI5+QmufS0tGjcPxaws5tXlMOPk7OmRqb+MkdgHefYYKl0SsAgHe55Tb3nmXN01GXL/Nf4HRc&#10;TITa29nNi1TGwWBxaCjKJd5NyPRsbu9WDI1OXoVyucTpDiPuK8lKNjKYbNrlqCRf/tuRADy/y1iL&#10;b76JZ2n5UzLzK0dbmmhnpH4qs/vzYcoKAgHhrpnrcNrcUP1jQmqeC53JFol/m+8qLy3evHnJ5MNS&#10;4iKd9c0dqsfC4nd19dKlnMaYPJ3nbHWztLrRMKugyupt9udxJnoquUWV9cZnbr/cGLRxzhpBDzqD&#10;yf4ruLCxtUu5sbVLeaCFh187wCEhRuuODvJ1tfc+mVZR26LLf88dAMBn9oSzglHZ/H1W17dpDdQf&#10;AEB3H0PiZ2VwkDLyKqzHjzR8xZ+IH8X4xKyd5xCkoiBV57H1yoOPd/cYpX4qs9NSka3UUpWv2B0S&#10;cyzswJL5bDZKWbjzamRpXID69uDoQANNxZIDvtO3XX2QsvJY2NPdgncX2ByU/OfDlBX487iRhq/1&#10;NRRLr0Qn+2xZ6hwQ/erDbE1l2aptXi4HDoc+3nf1QcrKWY4Wd9ccuXXlRoD3bAQBbObGC4+tzXRT&#10;PxRWWd6Jz1xwfoend1pOma3/ybshMafXOHvvv37DbZx5zNJpNleWHwgPV5ARb4568X6u7XD9pPC4&#10;tGX1zZ2q+3ym7nj+rsB5U9C9M9FBvq7CJmnZdLtLKw/dDLO3NHo5ZpheioudaZy1uW5qY2uXsiiN&#10;0jvdfsT9zPyK0UE3nm+9vHvR4rauHrk5my7Ffn50WBUA4H1+ldX5nZ7L7iZkem49HXXq3Pb5Ky5H&#10;fx8ukl1UPZLN5lD+GD/8gbgordvRemjCrSfpiyMTsuavnedw6unbPLfapnYNQdqq6tu0HyfnTAUA&#10;aGjpUol/m+e6fOa480UVDUPXH79z4eqjVZPTAAAGzklEQVT+JZ5clBeVEHdmjVPyh8/j03PLbW4E&#10;LJvzODl36tojty9f2LXAa7LP6TeH183YZKyrkrf68K1QIoGAykmJte4Ijg48vmGWn46qfJmKvFSd&#10;61jzWGGeaklxkc7LuxcuGezCM+W7nopDSU6yIeXa1pGvMouckt6X2Fc3tGmNMtFOtzbXfWtvafRS&#10;8FQeqqOS/3f6HGmslTlQvu0I/SS8PRIGGDJQUODIoZqZuE9ARV6qrqP7+8C4cRYGiXiIAR7PctRv&#10;5obapg71TyU1I1o6uhX66CwxwXYxDEP449+FhbKvmDnuvKGWUvEkG5MnBWX1pkpykg1Pzvk5lNe2&#10;6FV8adZDAME6uvukAQBmTrSINDdU/6iiIFV7LTbVu4/BEi0srzeJCvRxAwCIOLrCXYRKpuNHvO+c&#10;CcG1zR3qheX1JjUN7Zr4XRNhmGRj8jQtfPvwZ2n5Lm/el9jvvxgbELx13ip3hxH3KWQSS19DoRQA&#10;4PpBL4+yL836n6ubDOlMtgj+1YqNiycd0VCWrfZf4HR8qPvuyv76AQBQV5KuIZOIbG1V+Yr5U0aH&#10;L9p19e7aeQ6n7iZkem73mvJDWHhja5fy2+zP4worGoyLKxuGRgX5uprpq+WE3H3tp6UiV5Fb+mUY&#10;AM/MmfLx8zgAgLXzHIKU5aXqvabbXg4Ifbwvp+TLMD0NxVJcb9rqNeVgaHSyz9JptlfGjTR8PdvJ&#10;8g4Az+OsoyZfJmy9iNIofZ6u1tcF0/8uZKXE2mY5jrw7GOVdVVG69nf0iQOPEgAAIBjrqOTjUY84&#10;3hdUjTob8cof4Ps4FmGfwxH8UBmGYcj+i3EBW4PvnyqpbByirSpfwX+3GQeFTGJtWjz5CP4z0VPN&#10;EyxD+No2giAYBhhS09iu6ex7OjEu8aM7F8MIirISjVwuRgQAQL5et0UQBMMwDGGxORR+XYJKITH5&#10;X2jog5RVKw6EX/9YXGOhpSJbyeH0Hxe2PTgqUEFGvHmBq/W1K3sWLb5x2Ht2yJ1X6/H+uBhGyCqo&#10;sprqd/bZ68wiRwkxWpe4GLUb/UobHvRGJBJQFrv/uyz8YwUA0FGTLxehUujpueVjahraNIV9AsbK&#10;VPvd4XUzNkUH+biOGKLxHvchsDkomUYlM1CUS0JRLmmhm3XYyKG8HVOEyhOD8LnicjEi/30HKpnE&#10;xL6GYPDrknj5gej/bwFhnsvo8OiX2bPxL+B19tCltp+JDhR2Aednnlt84qJevp9zefeiJf4LnY7T&#10;mSyRX7nx9127gGAYBkjKh9LxVmY6aUf8Zm50HWseU93QpiXIdAgCGMbFCBKitG4OyiWVVjcaAgDs&#10;uxB7+NaT9MV4uQevPsw+sm7Gxi1LnQPIJCKbi3H7NV1/KvkyIvj2y40cDkricrmET8U1I7S/XrQh&#10;IAiXxUYp8al5rh6TrW7uWzV158ihWpkt7T0KOG1vskocAHj3PYRFC/ODgCBcNgcl4wvQ02X09dWH&#10;b4fOdLSIHDj6FMFObfbwvfX43ZKPRdUWBpqKJS3t3QoezlY3PZytbsYkfpxB/yqT4x8Q+FBYZWmg&#10;qVSip6Hw+VNJzYimNt7XYR4l50wbMUTzhy9KEggIlz3AzcT/JpCUZCUbww95zfU/GRnS28cUZ3E4&#10;FG/3sRd9Zk84W93QpqXB9/U6XTX5MjKJyJaXFm+WEhftEKWR+1QUpP6KaDXUVCrGMED8Fzgdn7b+&#10;XLyGkmz1MCP1bGFx9kbayoXCCDLQVCwBANBQkq3GdzFpCZEORRnxJscxxvFXH6as/GPd2WcKMuLN&#10;U2xNH3X3MSRkJcXauBjvCw8kIpGjrSZfTiQS0OuHlnos3h12R4RKpuuqK3yeP8UqPCOvwppCJrJ8&#10;59oHrzly+4q2qnz5MCP1bBlJsTYMwxB9TcUSwU9TXtq9cMnmU/eDQ+68Xo8ggI02000L2jRnNQDA&#10;ZBuTJ/beJ95dP+Q1Z+meaxFpOeW2qgpStW7jzGPau3plleWl6osq6o0n+5x608dgieIfeDDQ4I1T&#10;U1m2ikYhMWQkRds4X8P2TfXVcuZsvhRz7+Sqqe4TR9zbGBh5du7kUT9ELUuJi3SqyEv/FV2rKCvR&#10;dHit+6YL996svbDT0yu7qHok/tG5Kbamj4x1VfIBAPLK6sxc1wS/5HIxwuktc32U5aXqT/jP9pu2&#10;/lyChCitW09DoXSnt+u+T8U1I/ijdx1GDXm+YEfovReXNtipKEgLvUr63wIEw35b+M6/+H+AzzVN&#10;Bv4n7obEnVk76Xe0t+vcw2NmBmqf+D/h+S9+xL+e7/+PcT02dZnL6uBXu5a77v156cFBSpzWOdB9&#10;hn/Bw/8ALbDfWMeOP9oAAAAASUVORK5CYIJQSwMECgAAAAAAAAAhAOehazliEAAAYhAAABUAAABk&#10;cnMvbWVkaWEvaW1hZ2UyLmpwZWf/2P/gABBKRklGAAEBAQBgAGAAAP/bAEMAAwICAwICAwMDAwQD&#10;AwQFCAUFBAQFCgcHBggMCgwMCwoLCw0OEhANDhEOCwsQFhARExQVFRUMDxcYFhQYEhQVFP/bAEMB&#10;AwQEBQQFCQUFCRQNCw0UFBQUFBQUFBQUFBQUFBQUFBQUFBQUFBQUFBQUFBQUFBQUFBQUFBQUFBQU&#10;FBQUFBQUFP/AABEIAGUA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gikk4Ar5L+IH/BSD4TeBtc1LSIH1XxJdWOVFxp&#10;MMb2ssmPupK0gyM8FsEdcZralRqV3anG5nOpCmrzdj4D+KX7V/xW1f4m+Jr+38c65o8TX00UNlp1&#10;9JDDDEsjBEVVIHAHXqepyTXMf8NTfGD/AKKf4r/8Gs3/AMVXnmtaidY1q/vzGIjd3Mk/lg527mLY&#10;/WqVfpEMPSjFLkX3HxNTEVXJtSe5+jv/AATD+KfjDxpq3jjR9f8AEN9rOm2kMN7EuoTNPJHK7sGI&#10;dstg4ztzjPSv0Lr8Zf2Kv2mNH/Zr8XeIb3XrC/v9O1WySDGnhGkSRHyDhyvGCR1r9GfgB+2J4A/a&#10;I1W70nQG1HTdatovO+wanEqPNHnloyjMGxxnuM/jXx+aYWpGvKrGHu6ar0PpcBXhKlGEpe8fQNFF&#10;FeCeqFFFFABRRRQAUUUUAFFFFAHH/FKZ4Php4uliYpKmkXTKynkEQNg57YxX4DDoPpX7z/HTVV0T&#10;4J+Pb/y/P+y6FfS+VnGcQPX4MAdK+vyFe5UfofN5u/gXqLRRRX1J88FfV/8AwTLmSL9p63RztaXS&#10;LtVHqcIf5A18oV9F/wDBPzWTo/7Vvg4GSGNLtbq0YzdObeQgDn7xZVA+tcOOXNhqiXZnZg9MRC/c&#10;/Z2iiivzU+5CiiigAooooAKKKKACiiigDyj9pu6hs/2d/iXJPKkEZ8P3qBnOMkwsoH4kgfUivwtH&#10;Sv2m/bp1KHTP2U/iBJKpbzrWC3G0dC9xGq/zr8Wq+zyKNqM35/ofMZu/fivI91/Y9/Z4j/aN+Kw0&#10;jUJprbw/p0BvtSkgwJCgYKsSnsWJxnsAx7V+inxE/YD+EfjDwdPpWk+G4fC+pJERZ6np7P5kcmPl&#10;35J8xc/eDc4zgjqPl3/gk6f+LpeN/T+xo/8A0etfqDXnZpiq0MVywk0o2O/AUKbw6bje+5/PX4o8&#10;PXXhHxLq2h34C32mXktlOB/fjco36g12X7ON3PZ/tA/DiS3kMUo8Q2Chh6NOin9CR+NRftCf8l6+&#10;JH/Yx6h/6UyVifDC5Sy+JfhK5kJWOLV7R2I6gCZTX1z/AHlG76r9D5uPuV0l3/U/oCooor8vPvAo&#10;oooAKKKKACiiigAqKWVYkLMQFAJyTgADqc15V8b/ANovwV+z/oS6h4p1Py7mZSbLTbb95dXZ9VTs&#10;OPvthR654r8sf2jv2zPG37QV9PaNPJ4d8JZHlaJZzEq+Dw0z8GRunHCjHA716eEy+ri3daR7/wCX&#10;c4sRi6eGXvavsfY37Qn7afwS8WXL/DbXEvPE/hXUC0WsarpDOiWTxupjKDAMuHXJKnAAGN+cV8tf&#10;FL9iPUoPDa+OfhNqf/CyfAE8bzpNbKFvbdQeVaLguR32qDwcqK+Xq7j4R/FHxt8LPFtrqPgfUry0&#10;1Vz5YtbdDKlyD/A0XIcHHTGfSvraeClhI/7NP1T2f+XyPnni44mVq8PS26/zPrD/AIJQKY/it43V&#10;gQw0dAQRyP344r9QK8W/Z50W91fw7D448W+AdO8E/ETVofJ1JrWNRJcRqcqzgHcueMo3KkYr2mvj&#10;sdW9viJTtb8dj6TDUvY0lC5+GnxO8D698Rv2mvHuheGtKuNa1a48SaiIra2XJOLiTJPZR7k4Fe++&#10;Gf2YfAH7LlrpPjL47+Ill1zb9s0/wbpfzyPPGwZdzqTvHAz91Mnlj0P0R+174m8b/ADw9fan8JfA&#10;VhZwax5l7rviuwtEkmglLr8zRgZJYZy7hgMnoea/K7XvEOp+KtXudV1jULjU9SumMk11dymSSRic&#10;5JNfV4edXHU1yvlhtp8T/wAvzPArRp4ObbXNJ99l/mfsP+zt+2t4G/aBaLTY5P8AhG/FTlwNDv5N&#10;zSgYO6KTAWT6cNweMDNfSFfztRyPDIJI2KMDwynBH419pfszf8FF9e8BvZ+HviOZvEvh3d5Y1Y/N&#10;fWaY7/8APZc46/N15OAK8zGZM4Xnh9V2/wAjsw2Zxn7tbR9+h+qdFcn4F+IPh74m+HrXXfDGsW2t&#10;aVN9ye2boccqQQCrc/dYA11lfMtNOzVme7o9UFFFFIBrMEUknAHJJr8/v2mP+Cktjo0V54c+FYGo&#10;6l80MviO4j/cQdj5CN/rG/2mAXjgNnj7+liE8TI3KsCPwr8Gvjp8KdR+CvxR1zwnqXleZazF4Ghk&#10;Dq9u5LRP7EoQcHmvcynD0cRVftdWtkeXmFarRpp0+u7OU8ReJtW8Yazc6vrmpXOr6pcndNdX0xlk&#10;c+7GsyikNfdpKKsj49tyd2fRv7Nf7EfjL9oa3j1kyp4b8I79p1W5jLvcYJDCCMY34IxklVz3PSv0&#10;x+BX7K3gH9n6wQ+HtKW51ry9s2tX4El5Icc4boinP3U2j1z1rb/Z+8U+HPGfwc8K3/hOSD+w1sY4&#10;ESEbPJZF2vGV/hZWzn8PXNW/iz8cPBnwR0NdU8Ya1DpsD/LDGA0k059EjXLHoeelfn+LxuJxdR0l&#10;dK+y/U+0w+Fo4eCmt+56LRX5L/tHf8FE/FnxSjvtB8FpJ4S8LSh4XmBBv7yM/wB5/wDlkCB91OeS&#10;CxrV+OXjbxB4Z/Y9/Z11XSdc1DT9SWW4mFxBcur7kJ2EnPzY7Zq1lVVcntHZydrfJsX16k+Zx1UV&#10;c/VJlDqQRkGvk34/f8E+vAPxfWbVNCRfBHiRst5+nwL9kmP/AE1gGAP95Cp6khq8c/Z5/wCCmyTt&#10;DovxZgELMxK+I9Piwg/uiaBASO/zJ6j5Rya+9vDfirSfGOi2uraHqVtq2nXMe+O6s5VdHHb5hmua&#10;dPFZdUvqvNbM2jOhjIWWqPw/+N37P3jH9n/xEuleKrARxTl/seoQHfbXgUjJR/bIypwRkZHNeb1+&#10;ov8AwVP1nRYvgz4e0y4Ktrc2spPZoGHmLGsUgkcjrt+ZV+pX0r8uq+2wGIniqCqTVmfKY2hHD1eS&#10;Gx3nwi+N3jH4HeIl1jwjrMunyFlNxaE7ra7Ufwyx9GHX3GeCK/Uf9l39uHwx+0EbfQ9RjHhzxsQc&#10;aWSXiutqFmeB8eik7G5Hq3Wvx8r7C/4JmfCe88XfG1/GfmLFpnhWJi43DdLPPFJGiAZzjbvYn2A7&#10;1yZphaE6Mqs1Zpb/AJI6cvxFZVFSjqmfrNRRRXwZ9afmr+1J/wAFGNeh8Rat4T+Gkf8AY9tZTG2m&#10;1+eEG5mdflcRxuvyLn+IjccA8V8Gapql5rmpXWoahdzX9/dytNPc3EheSV2OWZiepJ5zX3b/AMFN&#10;f2eU0bV7b4q6JBK0Goyraa0gUbIZQoWGbgcBwpVif4gv96vgev0LLY0PYKdFWvv3v5nx2YSq+2ca&#10;j06dgooor1jyztvhx8afHPwia8bwf4lv9CF4AJ47dgUlx0JRgVyMnnGeT61zfiHxHqnizWLvVdZ1&#10;C41TU7qQyzXNzIXd2JySSaza7/4UfArxv8bNZSw8J6DcaguQJb5lKWsA9ZJT8o7+pPYGsJKnSvUl&#10;Zd2bxdWranG78jgK+2P2gtLt5f8Agnl8EL94v9LgvBDE2SMI6XBYY9/LTn2969i+BP8AwTI8NeGV&#10;t9U+JN9/wlGo+WS2jWjNFZxsc8Fxh5cf8BGexr6s8cfBnwZ8RvBVt4R1/QLa88O23li2sFJhS32I&#10;UTy9mCu1SQMGvm8XmtGVWnyXai7t/hoe9hsBUhTmpuzkj8Ga7L4c/GHxp8I7u6ufB/iO+0GS6UJM&#10;LZgUlA6blYFTj1xkZr7F+N3/AAS61bTTLqPwv1cazbcsdH1aRYp154Ec2Aj8H+Lb06mviDxT4Q1v&#10;wRrM2leINJvNG1KElXtr6Fo3H4HqPccV7tLE4fGRtFp+T/yPHqUK+Fld6eaH+MvG2vfEHX7nXPEm&#10;rXOtatcY826u33OQOij0A7AcCsSiiu1JRVkccpOTu3qFdV8N/ih4o+EfiSPXvCWrzaPqaoYzIgVl&#10;kQ9UdGBVl4HBB6CuVopSipJxkrocZSg047n6F+Ef+CsBg0SKPxR4DN3qynDT6Te+VDIuBg7HBKnO&#10;eMntRXefsyfsDeB1+D+j3nxI8MpqXinUc3sqzTOhtY3A8uHCuOQoBORkMzDtRXxdSeWRm4+zbt22&#10;/M+uhDGOKbkj6y+I3gfTfiR4J1vwrq6GTT9VtDaTYAyN/RwP7ykBh7gV+HPgb4eDxl8WNL8Fm/No&#10;LzUjp/27yd5TDFd+zcM9Omfxoop5NUlGnWs9lf52Jx9OM5U+ZdT74+N/7A/w4+Gv7NPiK809Lqfx&#10;To9qb8a9PKxkmZMFkMQbYEZSQABkHByeh/NQYIBxRRXq5PWqVqU3Uld3PNzKnCE4KKsfov8Aslfs&#10;EeBPEvg3SPGvjG5uvErX4WSHSwDbW0I54faxaTt3UeoNfe+i6Dp/hvSbXTNJsrfTdPt18mC1tYxH&#10;FEvXCqOBRRXyeNr1ataSnK9mz6KhShTglBWNqiiiuM3CuE+I/wAKfCPxg0I6P4u0G21qz3EIZhiS&#10;Jj/FG4wyH6GiimpOD5ouzJavoz8vP21/2SNC/Z1Onat4d1i8udM1KVkTTr1Az2/0lBG4exXPua+d&#10;fAfhpPGHjfw7oMs7W0Wqajb2TzIuTGJJApYA9wDRRX32BrVKmE55u71Pl8XRpwxUYxVkz9G/2hv+&#10;CeHw3sPhpd6t4TkvPDWpaHYG4eVna6W+CgkiVWYYY4+8pA/2a+NP2LvhvpfxU/aM8LaNrSibTIJH&#10;vprdkDLceSpcRtn+EkDPXIyO9FFeVgcTWqYOs5ybaWn3HfiKFNV6bUd/0P24ooor5U9s/9lQSwEC&#10;LQAUAAYACAAAACEAPfyuaBQBAABHAgAAEwAAAAAAAAAAAAAAAAAAAAAAW0NvbnRlbnRfVHlwZXNd&#10;LnhtbFBLAQItABQABgAIAAAAIQA4/SH/1gAAAJQBAAALAAAAAAAAAAAAAAAAAEUBAABfcmVscy8u&#10;cmVsc1BLAQItABQABgAIAAAAIQAKAooW9gQAAH0TAAAOAAAAAAAAAAAAAAAAAEQCAABkcnMvZTJv&#10;RG9jLnhtbFBLAQItABQABgAIAAAAIQCMmn+7yAAAAKYBAAAZAAAAAAAAAAAAAAAAAGYHAABkcnMv&#10;X3JlbHMvZTJvRG9jLnhtbC5yZWxzUEsBAi0AFAAGAAgAAAAhANjKiHffAAAADAEAAA8AAAAAAAAA&#10;AAAAAAAAZQgAAGRycy9kb3ducmV2LnhtbFBLAQItAAoAAAAAAAAAIQAMTn6hOicAADonAAAUAAAA&#10;AAAAAAAAAAAAAHEJAABkcnMvbWVkaWEvaW1hZ2UxLnBuZ1BLAQItAAoAAAAAAAAAIQDnoWs5YhAA&#10;AGIQAAAVAAAAAAAAAAAAAAAAAN0wAABkcnMvbWVkaWEvaW1hZ2UyLmpwZWdQSwUGAAAAAAcABwC/&#10;AQAAckEAAAAA&#10;">
              <v:rect id="Rectangle 35" o:spid="_x0000_s1027" style="position:absolute;left:1417;top:1077;width:45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CI8UA&#10;AADdAAAADwAAAGRycy9kb3ducmV2LnhtbESPQYvCMBSE7wv+h/AEb2tqxdVWo4ggLOxJXVFvj+bZ&#10;VpuX0kSt/94IC3scZuYbZrZoTSXu1LjSsoJBPwJBnFldcq7gd7f+nIBwHlljZZkUPMnBYt75mGGq&#10;7YM3dN/6XAQIuxQVFN7XqZQuK8ig69uaOHhn2xj0QTa51A0+AtxUMo6iL2mw5LBQYE2rgrLr9mYU&#10;jIandr8bHy6JyTc/8eSaXI7HRKlet11OQXhq/X/4r/2tFcSDKIb3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oIjxQAAAN0AAAAPAAAAAAAAAAAAAAAAAJgCAABkcnMv&#10;ZG93bnJldi54bWxQSwUGAAAAAAQABAD1AAAAigMAAAAA&#10;" fillcolor="#0a376a" stroked="f"/>
              <v:line id="Line 36" o:spid="_x0000_s1028" style="position:absolute;visibility:visible;mso-wrap-style:square" from="1417,1412" to="10205,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fFCsQAAADdAAAADwAAAGRycy9kb3ducmV2LnhtbESPzYoCMRCE78K+Q+gFL6KJCiKjUVwX&#10;WfHk3wM0k97JsJPOMIk669MbQfBYVNVX1HzZukpcqQmlZw3DgQJBnHtTcqHhfNr0pyBCRDZYeSYN&#10;/xRgufjozDEz/sYHuh5jIRKEQ4YabIx1JmXILTkMA18TJ+/XNw5jkk0hTYO3BHeVHCk1kQ5LTgsW&#10;a1pbyv+OF6ehp9zYK/v1s/P1Sn5P9+X9Mllr3f1sVzMQkdr4Dr/aW6NhNFRjeL5JT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8UKxAAAAN0AAAAPAAAAAAAAAAAA&#10;AAAAAKECAABkcnMvZG93bnJldi54bWxQSwUGAAAAAAQABAD5AAAAkgMAAAAA&#10;" strokecolor="#0a376a" strokeweight=".176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8623;top:1092;width:1488;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vhmjEAAAA3QAAAA8AAABkcnMvZG93bnJldi54bWxEj82LwjAUxO+C/0N4wt40URaRalrEDxB2&#10;L34dvD2aZ1ttXkqT1e5/v1kQPA4z8xtmkXW2Fg9qfeVYw3ikQBDnzlRcaDgdt8MZCB+QDdaOScMv&#10;ecjSfm+BiXFP3tPjEAoRIewT1FCG0CRS+rwki37kGuLoXV1rMUTZFtK0+IxwW8uJUlNpseK4UGJD&#10;q5Ly++HHasDvnNTua3O+b9e3k5P+spryReuPQbecgwjUhXf41d4ZDZOx+oT/N/EJy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vhmjEAAAA3QAAAA8AAAAAAAAAAAAAAAAA&#10;nwIAAGRycy9kb3ducmV2LnhtbFBLBQYAAAAABAAEAPcAAACQAwAAAAA=&#10;">
                <v:imagedata r:id="rId3" o:title=""/>
              </v:shape>
              <v:shape id="Picture 38" o:spid="_x0000_s1030" type="#_x0000_t75" style="position:absolute;left:8320;top:1086;width:27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DN6vHAAAA3QAAAA8AAABkcnMvZG93bnJldi54bWxEj09rwkAUxO+FfoflFbxI3URQSuoaquAf&#10;1Ett6fmRfU1Cs2/j7hqjn75bEHocZuY3zCzvTSM6cr62rCAdJSCIC6trLhV8fqyeX0D4gKyxsUwK&#10;ruQhnz8+zDDT9sLv1B1DKSKEfYYKqhDaTEpfVGTQj2xLHL1v6wyGKF0ptcNLhJtGjpNkKg3WHBcq&#10;bGlZUfFzPBsFerM4ubD/OuzWezO83srusNpKpQZP/dsriEB9+A/f21utYJwmE/h7E5+An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hDN6vHAAAA3QAAAA8AAAAAAAAAAAAA&#10;AAAAnwIAAGRycy9kb3ducmV2LnhtbFBLBQYAAAAABAAEAPcAAACTAwAAAAA=&#10;">
                <v:imagedata r:id="rId4" o:title=""/>
              </v:shape>
              <w10:wrap anchorx="page" anchory="page"/>
            </v:group>
          </w:pict>
        </mc:Fallback>
      </mc:AlternateContent>
    </w:r>
    <w:r>
      <w:rPr>
        <w:noProof/>
        <w:lang w:val="en-US" w:bidi="ar-SA"/>
      </w:rPr>
      <mc:AlternateContent>
        <mc:Choice Requires="wps">
          <w:drawing>
            <wp:anchor distT="0" distB="0" distL="114300" distR="114300" simplePos="0" relativeHeight="251663360" behindDoc="1" locked="0" layoutInCell="1" allowOverlap="1" wp14:anchorId="583A34F2" wp14:editId="4C0E189B">
              <wp:simplePos x="0" y="0"/>
              <wp:positionH relativeFrom="page">
                <wp:posOffset>944245</wp:posOffset>
              </wp:positionH>
              <wp:positionV relativeFrom="page">
                <wp:posOffset>664845</wp:posOffset>
              </wp:positionV>
              <wp:extent cx="199390" cy="218440"/>
              <wp:effectExtent l="1270" t="0" r="0" b="2540"/>
              <wp:wrapNone/>
              <wp:docPr id="2039" name="文本框 2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56C" w:rsidRDefault="00D00461">
                          <w:pPr>
                            <w:pStyle w:val="a5"/>
                            <w:spacing w:before="74"/>
                            <w:ind w:left="40"/>
                            <w:rPr>
                              <w:rFonts w:ascii="Arial"/>
                            </w:rPr>
                          </w:pPr>
                          <w:r>
                            <w:fldChar w:fldCharType="begin"/>
                          </w:r>
                          <w:r>
                            <w:rPr>
                              <w:rFonts w:ascii="Arial"/>
                              <w:color w:val="FFFFFF"/>
                            </w:rPr>
                            <w:instrText xml:space="preserve"> PAGE </w:instrText>
                          </w:r>
                          <w:r>
                            <w:fldChar w:fldCharType="separate"/>
                          </w:r>
                          <w:r>
                            <w:rPr>
                              <w:rFonts w:ascii="Arial"/>
                              <w:noProof/>
                              <w:color w:val="FFFFFF"/>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39" o:spid="_x0000_s1026" type="#_x0000_t202" style="position:absolute;margin-left:74.35pt;margin-top:52.35pt;width:15.7pt;height:17.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cgwAIAAK8FAAAOAAAAZHJzL2Uyb0RvYy54bWysVEtu2zAQ3RfoHQjuFX0iO5IQOUgsqyiQ&#10;foC0B6AlyiIqkSpJW0qLbtsbdNVN9z1XztEhZdn5bIq2WhAjcvhm3szjnF8MbYN2VComeIr9Ew8j&#10;ygtRMr5J8ft3uRNhpDThJWkEpym+pQpfLJ4/O++7hAaiFk1JJQIQrpK+S3GtdZe4ripq2hJ1IjrK&#10;4bASsiUafuXGLSXpAb1t3MDz5m4vZNlJUVClYDcbD/HC4lcVLfSbqlJUoybFkJu2q7Tr2qzu4pwk&#10;G0m6mhX7NMhfZNESxiHoASojmqCtZE+gWlZIoUSlTwrRuqKqWEEtB2Dje4/Y3NSko5YLFEd1hzKp&#10;/wdbvN69lYiVKQ680xgjTlro0t33b3c/ft39/IrsLhSp71QCvjcdeOvhSgzQbEtYddei+KAQF8ua&#10;8A29lFL0NSUlJOmb8rr3ro44yoCs+1eihFBkq4UFGirZmgpCTRCgQ7NuDw2ig0aFCRnHpzGcFHAU&#10;+FEY2ga6JJkud1LpF1S0yBgpltB/C05210qbZEgyuZhYXOSsaawGGv5gAxzHHQgNV82ZScK29HPs&#10;xatoFYVOGMxXTuhlmXOZL0Nnnvtns+w0Wy4z/4uJ64dJzcqSchNmkpcf/ln79kIfhXEQmBINKw2c&#10;SUnJzXrZSLQjIO/cfrbkcHJ0cx+mYYsAXB5R8oPQuwpiJ59HZ06YhzMnPvMix/Pjq3juhXGY5Q8p&#10;XTNO/50S6lMcz4LZqKVj0o+4efZ7yo0kLdMwQBrWpjg6OJHEKHDFS9taTVgz2vdKYdI/lgLaPTXa&#10;6tVIdBSrHtYDoBgRr0V5C8qVApQFIoSpB0Yt5CeMepggKVYft0RSjJqXHNRvxs1kyMlYTwbhBVxN&#10;scZoNJd6HEvbTrJNDcjj++LiEl5Ixax6j1ns3xVMBUtiP8HM2Ln/b72Oc3bxGwAA//8DAFBLAwQU&#10;AAYACAAAACEAjHnyS94AAAALAQAADwAAAGRycy9kb3ducmV2LnhtbEyPwU7DMBBE70j8g7VI3Kgd&#10;qEoa4lQVghMSIg0Hjk68TaLG6xC7bfh7tie4zWhHs2/yzewGccIp9J40JAsFAqnxtqdWw2f1epeC&#10;CNGQNYMn1PCDATbF9VVuMuvPVOJpF1vBJRQyo6GLccykDE2HzoSFH5H4tveTM5Ht1Eo7mTOXu0He&#10;K7WSzvTEHzoz4nOHzWF3dBq2X1S+9N/v9Ue5L/uqWit6Wx20vr2Zt08gIs7xLwwXfEaHgplqfyQb&#10;xMB+mT5ylIVasrgkUpWAqFk8rBOQRS7/byh+AQAA//8DAFBLAQItABQABgAIAAAAIQC2gziS/gAA&#10;AOEBAAATAAAAAAAAAAAAAAAAAAAAAABbQ29udGVudF9UeXBlc10ueG1sUEsBAi0AFAAGAAgAAAAh&#10;ADj9If/WAAAAlAEAAAsAAAAAAAAAAAAAAAAALwEAAF9yZWxzLy5yZWxzUEsBAi0AFAAGAAgAAAAh&#10;ACe5xyDAAgAArwUAAA4AAAAAAAAAAAAAAAAALgIAAGRycy9lMm9Eb2MueG1sUEsBAi0AFAAGAAgA&#10;AAAhAIx58kveAAAACwEAAA8AAAAAAAAAAAAAAAAAGgUAAGRycy9kb3ducmV2LnhtbFBLBQYAAAAA&#10;BAAEAPMAAAAlBgAAAAA=&#10;" filled="f" stroked="f">
              <v:textbox inset="0,0,0,0">
                <w:txbxContent>
                  <w:p w:rsidR="00EE456C" w:rsidRDefault="00D00461">
                    <w:pPr>
                      <w:pStyle w:val="a5"/>
                      <w:spacing w:before="74"/>
                      <w:ind w:left="40"/>
                      <w:rPr>
                        <w:rFonts w:ascii="Arial"/>
                      </w:rPr>
                    </w:pPr>
                    <w:r>
                      <w:fldChar w:fldCharType="begin"/>
                    </w:r>
                    <w:r>
                      <w:rPr>
                        <w:rFonts w:ascii="Arial"/>
                        <w:color w:val="FFFFFF"/>
                      </w:rPr>
                      <w:instrText xml:space="preserve"> PAGE </w:instrText>
                    </w:r>
                    <w:r>
                      <w:fldChar w:fldCharType="separate"/>
                    </w:r>
                    <w:r>
                      <w:rPr>
                        <w:rFonts w:ascii="Arial"/>
                        <w:noProof/>
                        <w:color w:val="FFFFFF"/>
                      </w:rPr>
                      <w:t>98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6C" w:rsidRDefault="00D00461">
    <w:pPr>
      <w:pStyle w:val="a5"/>
      <w:spacing w:line="14" w:lineRule="auto"/>
      <w:rPr>
        <w:sz w:val="20"/>
      </w:rPr>
    </w:pPr>
    <w:r>
      <w:rPr>
        <w:noProof/>
        <w:lang w:val="en-US" w:bidi="ar-SA"/>
      </w:rPr>
      <mc:AlternateContent>
        <mc:Choice Requires="wpg">
          <w:drawing>
            <wp:anchor distT="0" distB="0" distL="114300" distR="114300" simplePos="0" relativeHeight="251659264" behindDoc="1" locked="0" layoutInCell="1" allowOverlap="1" wp14:anchorId="4F3CE4D8" wp14:editId="6E24014A">
              <wp:simplePos x="0" y="0"/>
              <wp:positionH relativeFrom="page">
                <wp:posOffset>1080135</wp:posOffset>
              </wp:positionH>
              <wp:positionV relativeFrom="page">
                <wp:posOffset>683895</wp:posOffset>
              </wp:positionV>
              <wp:extent cx="5580380" cy="216535"/>
              <wp:effectExtent l="13335" t="0" r="6985" b="4445"/>
              <wp:wrapNone/>
              <wp:docPr id="2036" name="组合 2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216535"/>
                        <a:chOff x="1701" y="1077"/>
                        <a:chExt cx="8788" cy="341"/>
                      </a:xfrm>
                    </wpg:grpSpPr>
                    <wps:wsp>
                      <wps:cNvPr id="2108" name="Rectangle 30"/>
                      <wps:cNvSpPr>
                        <a:spLocks noChangeArrowheads="1"/>
                      </wps:cNvSpPr>
                      <wps:spPr bwMode="auto">
                        <a:xfrm>
                          <a:off x="10034" y="1077"/>
                          <a:ext cx="454" cy="341"/>
                        </a:xfrm>
                        <a:prstGeom prst="rect">
                          <a:avLst/>
                        </a:prstGeom>
                        <a:solidFill>
                          <a:srgbClr val="0A37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 name="Line 31"/>
                      <wps:cNvCnPr/>
                      <wps:spPr bwMode="auto">
                        <a:xfrm>
                          <a:off x="10488" y="1412"/>
                          <a:ext cx="0" cy="0"/>
                        </a:xfrm>
                        <a:prstGeom prst="line">
                          <a:avLst/>
                        </a:prstGeom>
                        <a:noFill/>
                        <a:ln w="6337">
                          <a:solidFill>
                            <a:srgbClr val="0A37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036" o:spid="_x0000_s1026" style="position:absolute;left:0;text-align:left;margin-left:85.05pt;margin-top:53.85pt;width:439.4pt;height:17.05pt;z-index:-251657216;mso-position-horizontal-relative:page;mso-position-vertical-relative:page" coordorigin="1701,1077" coordsize="87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P1mgMAAOUIAAAOAAAAZHJzL2Uyb0RvYy54bWy8Vslu5DYQvQeYfyB4l7VRrQWWBz29GAGc&#10;xMhkPoAtUQsikQqptuwJcsshx/xPvifIb6RISj1uz2bMAOODTKqKxar36pX68uV936E7JlUreI79&#10;Cw8jxgtRtrzO8Ztf9k6CkRopL2knOMvxA1P45dWL7y6nIWOBaERXMokgCFfZNOS4Gcchc11VNKyn&#10;6kIMjIOxErKnI2xl7ZaSThC979zA81buJGQ5SFEwpeDt1hrxlYlfVawYf6oqxUbU5RhyG81TmudB&#10;P92rS5rVkg5NW8xp0C/Ioqcth0tPobZ0pOgo2/dC9W0hhRLVeFGI3hVV1RbM1ADV+N6Taq6lOA6m&#10;ljqb6uEEE0D7BKcvDlv8eHcrUVvmOPDCFUac9sDSf//8+e/ffyHzChCahjoDx2s5vB5upS0Tljei&#10;+FWB2X1q1/vaOqPD9IMoISQ9jsIgdF/JXoeA2tG9IeLhRAS7H1EBL6Mo8cIE+CrAFvirKIwsU0UD&#10;dOpjfuz5GIHV9+J4se3m40mcQNvpsyHxtdGlmb3WpDqnpuuCplPvcFVfh+vrhg7M0KU0XAuuvgfJ&#10;WFx/hn6kvO4YCk3r6QTAc0FVWUgRF5sG3NhaSjE1jJaQmK3j7IDeKCDksxj7nheSJ2gtUJMILB+C&#10;imaDVOM1Ez3SixxLSN4wSO9u1GhRXVw0oUp0bblvu85sZH3YdBLdUS28dRiv1jMRZ24d185c6GM2&#10;on0D2cEd2qbzNEL6PfUD4r0KUme/SmKH7EnkpLGXOJ6fvkpXHknJdv+HTtAnWdOWJeM3LWeLqH3y&#10;PHLn8WLlaGSNphynURCZ2s+yV2dFevrvQ0X27Qgzrmv7HCcnJ5ppYne8hLJpNtK2s2v3PH3Tu4DB&#10;8t+gAl1smbctfBDlA3SBFEASaAamMSwaId9iNMFky7H67Uglw6j7nkMnpT4hehSaDYniADbyseXw&#10;2EJ5AaFyPGJkl5vRjs/jINu6gZt8AwwXa1B41ZrG0PnZrMx0MCr7dnJLF7kZ/kOjnFk4G34rAfAF&#10;v2coh+hRoucM8QNNru1IPaTm8bRQvsy1RRKzajrowU+p5tT7NOu4brVVGMafa7WP6klfvqWqsboz&#10;zWqThi/J3Gofazu4fq7ufeV56S7ZJcQhwWrnEG+7ddb7DXFWez+OtuF2s9n658rTev565el8Tvg8&#10;EoYdMjDUnyUMPVc04TDpzcp8S42e5u++/lg/3huvd79Orv4HAAD//wMAUEsDBBQABgAIAAAAIQBh&#10;/yGA4QAAAAwBAAAPAAAAZHJzL2Rvd25yZXYueG1sTI/BTsMwEETvSPyDtUjcqG0oJA1xqqoCThUS&#10;LRLqzY23SdTYjmI3Sf+e7QluM9qn2Zl8OdmWDdiHxjsFciaAoSu9aVyl4Hv3/pACC1E7o1vvUMEF&#10;AyyL25tcZ8aP7guHbawYhbiQaQV1jF3GeShrtDrMfIeObkffWx3J9hU3vR4p3Lb8UYgXbnXj6EOt&#10;O1zXWJ62Z6vgY9Tj6km+DZvTcX3Z754/fzYSlbq/m1avwCJO8Q+Ga32qDgV1OvizM4G15BMhCSUh&#10;kgTYlRDzdAHsQGouU+BFzv+PKH4BAAD//wMAUEsBAi0AFAAGAAgAAAAhALaDOJL+AAAA4QEAABMA&#10;AAAAAAAAAAAAAAAAAAAAAFtDb250ZW50X1R5cGVzXS54bWxQSwECLQAUAAYACAAAACEAOP0h/9YA&#10;AACUAQAACwAAAAAAAAAAAAAAAAAvAQAAX3JlbHMvLnJlbHNQSwECLQAUAAYACAAAACEAjMND9ZoD&#10;AADlCAAADgAAAAAAAAAAAAAAAAAuAgAAZHJzL2Uyb0RvYy54bWxQSwECLQAUAAYACAAAACEAYf8h&#10;gOEAAAAMAQAADwAAAAAAAAAAAAAAAAD0BQAAZHJzL2Rvd25yZXYueG1sUEsFBgAAAAAEAAQA8wAA&#10;AAIHAAAAAA==&#10;">
              <v:rect id="Rectangle 30" o:spid="_x0000_s1027" style="position:absolute;left:10034;top:1077;width:45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1ycQA&#10;AADdAAAADwAAAGRycy9kb3ducmV2LnhtbERPTWvCQBC9F/oflin01mySUmuim1AEQehJbanehuw0&#10;icnOhuyq6b/vHgSPj/e9LCfTiwuNrrWsIIliEMSV1S3XCr7265c5COeRNfaWScEfOSiLx4cl5tpe&#10;eUuXna9FCGGXo4LG+yGX0lUNGXSRHYgD92tHgz7AsZZ6xGsIN71M43gmDbYcGhocaNVQ1e3ORsHb&#10;63H63r//nDJTbz/TeZedDodMqeen6WMBwtPk7+Kbe6MVpEkc5oY34Qn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itcnEAAAA3QAAAA8AAAAAAAAAAAAAAAAAmAIAAGRycy9k&#10;b3ducmV2LnhtbFBLBQYAAAAABAAEAPUAAACJAwAAAAA=&#10;" fillcolor="#0a376a" stroked="f"/>
              <v:line id="Line 31" o:spid="_x0000_s1028" style="position:absolute;visibility:visible;mso-wrap-style:square" from="10488,1412" to="10488,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y4MUAAADdAAAADwAAAGRycy9kb3ducmV2LnhtbESP0WoCMRRE3wX/IVyhL1ITLYjdGpdV&#10;KRWfrO0HXDa3m6Wbm2UTdfXrTaHg4zAzZ5hl3rtGnKkLtWcN04kCQVx6U3Ol4fvr/XkBIkRkg41n&#10;0nClAPlqOFhiZvyFP+l8jJVIEA4ZarAxtpmUobTkMEx8S5y8H985jEl2lTQdXhLcNXKm1Fw6rDkt&#10;WGxpY6n8PZ6chrFyL17Z9cfet4XcLg717TTfaP006os3EJH6+Aj/t3dGw2yqXuHvTX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y4MUAAADdAAAADwAAAAAAAAAA&#10;AAAAAAChAgAAZHJzL2Rvd25yZXYueG1sUEsFBgAAAAAEAAQA+QAAAJMDAAAAAA==&#10;" strokecolor="#0a376a" strokeweight=".17603mm"/>
              <w10:wrap anchorx="page" anchory="page"/>
            </v:group>
          </w:pict>
        </mc:Fallback>
      </mc:AlternateContent>
    </w:r>
    <w:r>
      <w:rPr>
        <w:noProof/>
        <w:lang w:val="en-US" w:bidi="ar-SA"/>
      </w:rPr>
      <mc:AlternateContent>
        <mc:Choice Requires="wps">
          <w:drawing>
            <wp:anchor distT="0" distB="0" distL="114300" distR="114300" simplePos="0" relativeHeight="251660288" behindDoc="1" locked="0" layoutInCell="1" allowOverlap="1" wp14:anchorId="76527761" wp14:editId="54BABC0C">
              <wp:simplePos x="0" y="0"/>
              <wp:positionH relativeFrom="page">
                <wp:posOffset>6416675</wp:posOffset>
              </wp:positionH>
              <wp:positionV relativeFrom="page">
                <wp:posOffset>664845</wp:posOffset>
              </wp:positionV>
              <wp:extent cx="199390" cy="218440"/>
              <wp:effectExtent l="0" t="0" r="3810" b="2540"/>
              <wp:wrapNone/>
              <wp:docPr id="2035" name="文本框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56C" w:rsidRDefault="00D00461">
                          <w:pPr>
                            <w:pStyle w:val="a5"/>
                            <w:spacing w:before="74"/>
                            <w:ind w:left="40"/>
                            <w:rPr>
                              <w:rFonts w:ascii="Arial"/>
                            </w:rPr>
                          </w:pPr>
                          <w:r>
                            <w:fldChar w:fldCharType="begin"/>
                          </w:r>
                          <w:r>
                            <w:rPr>
                              <w:rFonts w:ascii="Arial"/>
                              <w:color w:val="FFFFFF"/>
                            </w:rPr>
                            <w:instrText xml:space="preserve"> PAGE </w:instrText>
                          </w:r>
                          <w:r>
                            <w:fldChar w:fldCharType="separate"/>
                          </w:r>
                          <w:r w:rsidR="000B52FE">
                            <w:rPr>
                              <w:rFonts w:ascii="Arial"/>
                              <w:noProof/>
                              <w:color w:val="FFFFF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35" o:spid="_x0000_s1027" type="#_x0000_t202" style="position:absolute;margin-left:505.25pt;margin-top:52.35pt;width:15.7pt;height:1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M/xAIAALYFAAAOAAAAZHJzL2Uyb0RvYy54bWysVEtu2zAQ3RfoHQjuFX0iO5IQOUgsqyiQ&#10;foC0B6AlyiIqkSpJW0qLbtsbdNVN9z1XztEhZdn5bIq2WhAjcvhm3szjnF8MbYN2VComeIr9Ew8j&#10;ygtRMr5J8ft3uRNhpDThJWkEpym+pQpfLJ4/O++7hAaiFk1JJQIQrpK+S3GtdZe4ripq2hJ1IjrK&#10;4bASsiUafuXGLSXpAb1t3MDz5m4vZNlJUVClYDcbD/HC4lcVLfSbqlJUoybFkJu2q7Tr2qzu4pwk&#10;G0m6mhX7NMhfZNESxiHoASojmqCtZE+gWlZIoUSlTwrRuqKqWEEtB2Dje4/Y3NSko5YLFEd1hzKp&#10;/wdbvN69lYiVKQ680xlGnLTQpbvv3+5+/Lr7+RXZXShS36kEfG868NbDlRig2Zaw6q5F8UEhLpY1&#10;4Rt6KaXoa0pKSNI35XXvXR1xlAFZ969ECaHIVgsLNFSyNRWEmiBAh2bdHhpEB40KEzKOT2M4KeAo&#10;8KMwtA10STJd7qTSL6hokTFSLKH/FpzsrpU2yZBkcjGxuMhZ01gNNPzBBjiOOxAarpozk4Rt6efY&#10;i1fRKgqdMJivnNDLMucyX4bOPPfPZtlptlxm/hcT1w+TmpUl5SbMJC8//LP27YU+CuMgMCUaVho4&#10;k5KSm/WykWhHQN65/WzJ4eTo5j5MwxYBuDyi5AehdxXETj6PzpwwD2dOfOZFjufHV/HcC+Mwyx9S&#10;umac/jsl1Kc4ngWzUUvHpB9x8+z3lBtJWqZhgDSsTXF0cCKJUeCKl7a1mrBmtO+VwqR/LAW0e2q0&#10;1auR6ChWPawH+z6smI2W16K8BQFLAQIDLcLwA6MW8hNGPQySFKuPWyIpRs1LDo/ATJ3JkJOxngzC&#10;C7iaYo3RaC71OJ22nWSbGpDHZ8bFJTyUilkRH7PYPy8YDpbLfpCZ6XP/33odx+3iNwAAAP//AwBQ&#10;SwMEFAAGAAgAAAAhACIl4fjgAAAADQEAAA8AAABkcnMvZG93bnJldi54bWxMj8FOwzAQRO9I/IO1&#10;SNyoHSiFhDhVheCEVJGGA0cn3iZW43WI3Tb8fZ0T3Ga0T7Mz+XqyPTvh6I0jCclCAENqnDbUSviq&#10;3u+egfmgSKveEUr4RQ/r4voqV5l2ZyrxtAstiyHkMyWhC2HIOPdNh1b5hRuQ4m3vRqtCtGPL9ajO&#10;Mdz2/F6IFbfKUPzQqQFfO2wOu6OVsPmm8s38bOvPcl+aqkoFfawOUt7eTJsXYAGn8AfDXD9WhyJ2&#10;qt2RtGd99CIRj5Gd1fIJ2IyIZZICq6N6SBPgRc7/ryguAAAA//8DAFBLAQItABQABgAIAAAAIQC2&#10;gziS/gAAAOEBAAATAAAAAAAAAAAAAAAAAAAAAABbQ29udGVudF9UeXBlc10ueG1sUEsBAi0AFAAG&#10;AAgAAAAhADj9If/WAAAAlAEAAAsAAAAAAAAAAAAAAAAALwEAAF9yZWxzLy5yZWxzUEsBAi0AFAAG&#10;AAgAAAAhAOeJgz/EAgAAtgUAAA4AAAAAAAAAAAAAAAAALgIAAGRycy9lMm9Eb2MueG1sUEsBAi0A&#10;FAAGAAgAAAAhACIl4fjgAAAADQEAAA8AAAAAAAAAAAAAAAAAHgUAAGRycy9kb3ducmV2LnhtbFBL&#10;BQYAAAAABAAEAPMAAAArBgAAAAA=&#10;" filled="f" stroked="f">
              <v:textbox inset="0,0,0,0">
                <w:txbxContent>
                  <w:p w:rsidR="00EE456C" w:rsidRDefault="00D00461">
                    <w:pPr>
                      <w:pStyle w:val="a5"/>
                      <w:spacing w:before="74"/>
                      <w:ind w:left="40"/>
                      <w:rPr>
                        <w:rFonts w:ascii="Arial"/>
                      </w:rPr>
                    </w:pPr>
                    <w:r>
                      <w:fldChar w:fldCharType="begin"/>
                    </w:r>
                    <w:r>
                      <w:rPr>
                        <w:rFonts w:ascii="Arial"/>
                        <w:color w:val="FFFFFF"/>
                      </w:rPr>
                      <w:instrText xml:space="preserve"> PAGE </w:instrText>
                    </w:r>
                    <w:r>
                      <w:fldChar w:fldCharType="separate"/>
                    </w:r>
                    <w:r w:rsidR="000B52FE">
                      <w:rPr>
                        <w:rFonts w:ascii="Arial"/>
                        <w:noProof/>
                        <w:color w:val="FFFFFF"/>
                      </w:rPr>
                      <w:t>8</w:t>
                    </w:r>
                    <w: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1ACD0349" wp14:editId="4603C2B6">
              <wp:simplePos x="0" y="0"/>
              <wp:positionH relativeFrom="page">
                <wp:posOffset>1067435</wp:posOffset>
              </wp:positionH>
              <wp:positionV relativeFrom="page">
                <wp:posOffset>697230</wp:posOffset>
              </wp:positionV>
              <wp:extent cx="2425700" cy="179070"/>
              <wp:effectExtent l="635" t="1905" r="2540" b="0"/>
              <wp:wrapNone/>
              <wp:docPr id="2034" name="文本框 2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56C" w:rsidRDefault="00D00461">
                          <w:pPr>
                            <w:pStyle w:val="a5"/>
                            <w:tabs>
                              <w:tab w:val="left" w:pos="1069"/>
                            </w:tabs>
                            <w:spacing w:line="260" w:lineRule="exact"/>
                            <w:ind w:left="20"/>
                          </w:pPr>
                          <w:r>
                            <w:rPr>
                              <w:color w:val="231F20"/>
                            </w:rPr>
                            <w:t>第三部分</w:t>
                          </w:r>
                          <w:r>
                            <w:rPr>
                              <w:color w:val="231F20"/>
                            </w:rPr>
                            <w:tab/>
                          </w:r>
                          <w:r>
                            <w:rPr>
                              <w:color w:val="231F20"/>
                            </w:rPr>
                            <w:t>构建系统性金融风险防控体系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34" o:spid="_x0000_s1028" type="#_x0000_t202" style="position:absolute;margin-left:84.05pt;margin-top:54.9pt;width:191pt;height:14.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hxAIAALc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PvPMSIkwa6tP/+bf/j1/7nV2R3oUhdq2LwvW3BW/fXoodmW8KqvRH5B4W4WFaE&#10;b+iVlKKrKCkgSd+U1713dcBRBmTdvRIFhCJbLSxQX8rGVBBqggAdmnV3bBDtNcphMwiDycyDoxzO&#10;/FnkzWwHXRKPt1up9AsqGmSMBEsQgEUnuxulTTYkHl1MMC4yVtdWBDV/sAGOww7EhqvmzGRhe/o5&#10;8qLVfDUPnTCYrpzQS1PnKluGzjTzZ5P0PF0uU/+LieuHccWKgnITZtSXH/5Z/w5KH5RxVJgSNSsM&#10;nElJyc16WUu0I6DvzH625nBycnMfpmGLAFweUfKD0LsOIiebzmdOmIUTJ5p5c8fzo+to6oVRmGYP&#10;Kd0wTv+dEuoSHE2CySCmU9KPuHn2e8qNxA3TMEFq1iR4fnQisZHgihe2tZqwerDvlcKkfyoFtHts&#10;tBWs0eigVt2v++GBmOhGzGtR3IGCpQCBgRZh+oFRCfkJow4mSYLVxy2RFKP6JYdXYMbOaMjRWI8G&#10;4TlcTbDGaDCXehhP21ayTQXIwzvj4gpeSsmsiE9ZHN4XTAfL5TDJzPi5/2+9TvN28RsAAP//AwBQ&#10;SwMEFAAGAAgAAAAhAPKoFx7dAAAACwEAAA8AAABkcnMvZG93bnJldi54bWxMT8tOwzAQvCP1H6yt&#10;xI3aBTVKQ5yqQnBCQqThwNFJtonVeB1itw1/z3KC285DszP5bnaDuOAUrCcN65UCgdT41lKn4aN6&#10;uUtBhGioNYMn1PCNAXbF4iY3WeuvVOLlEDvBIRQyo6GPccykDE2PzoSVH5FYO/rJmchw6mQ7mSuH&#10;u0HeK5VIZyzxh96M+NRjczqcnYb9J5XP9uutfi+Ppa2qraLX5KT17XLeP4KIOMc/M/zW5+pQcKfa&#10;n6kNYmCcpGu28qG2vIEdm41ipmbmIVUgi1z+31D8AAAA//8DAFBLAQItABQABgAIAAAAIQC2gziS&#10;/gAAAOEBAAATAAAAAAAAAAAAAAAAAAAAAABbQ29udGVudF9UeXBlc10ueG1sUEsBAi0AFAAGAAgA&#10;AAAhADj9If/WAAAAlAEAAAsAAAAAAAAAAAAAAAAALwEAAF9yZWxzLy5yZWxzUEsBAi0AFAAGAAgA&#10;AAAhAL4yKuHEAgAAtwUAAA4AAAAAAAAAAAAAAAAALgIAAGRycy9lMm9Eb2MueG1sUEsBAi0AFAAG&#10;AAgAAAAhAPKoFx7dAAAACwEAAA8AAAAAAAAAAAAAAAAAHgUAAGRycy9kb3ducmV2LnhtbFBLBQYA&#10;AAAABAAEAPMAAAAoBgAAAAA=&#10;" filled="f" stroked="f">
              <v:textbox inset="0,0,0,0">
                <w:txbxContent>
                  <w:p w:rsidR="00EE456C" w:rsidRDefault="00D00461">
                    <w:pPr>
                      <w:pStyle w:val="a5"/>
                      <w:tabs>
                        <w:tab w:val="left" w:pos="1069"/>
                      </w:tabs>
                      <w:spacing w:line="260" w:lineRule="exact"/>
                      <w:ind w:left="20"/>
                    </w:pPr>
                    <w:r>
                      <w:rPr>
                        <w:color w:val="231F20"/>
                      </w:rPr>
                      <w:t>第三部分</w:t>
                    </w:r>
                    <w:r>
                      <w:rPr>
                        <w:color w:val="231F20"/>
                      </w:rPr>
                      <w:tab/>
                    </w:r>
                    <w:r>
                      <w:rPr>
                        <w:color w:val="231F20"/>
                      </w:rPr>
                      <w:t>构建系统性金融风险防控体系</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CE"/>
    <w:rsid w:val="000748CE"/>
    <w:rsid w:val="000B52FE"/>
    <w:rsid w:val="001D703D"/>
    <w:rsid w:val="00D0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52FE"/>
    <w:pPr>
      <w:widowControl w:val="0"/>
      <w:autoSpaceDE w:val="0"/>
      <w:autoSpaceDN w:val="0"/>
    </w:pPr>
    <w:rPr>
      <w:rFonts w:ascii="宋体" w:eastAsia="宋体" w:hAnsi="宋体" w:cs="宋体"/>
      <w:kern w:val="0"/>
      <w:sz w:val="22"/>
      <w:lang w:val="zh-CN" w:bidi="zh-CN"/>
    </w:rPr>
  </w:style>
  <w:style w:type="paragraph" w:styleId="3">
    <w:name w:val="heading 3"/>
    <w:basedOn w:val="a"/>
    <w:link w:val="3Char"/>
    <w:uiPriority w:val="1"/>
    <w:qFormat/>
    <w:rsid w:val="000B52FE"/>
    <w:pPr>
      <w:ind w:left="897"/>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2F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0B52FE"/>
    <w:rPr>
      <w:sz w:val="18"/>
      <w:szCs w:val="18"/>
    </w:rPr>
  </w:style>
  <w:style w:type="paragraph" w:styleId="a4">
    <w:name w:val="footer"/>
    <w:basedOn w:val="a"/>
    <w:link w:val="Char0"/>
    <w:uiPriority w:val="99"/>
    <w:unhideWhenUsed/>
    <w:rsid w:val="000B52FE"/>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0B52FE"/>
    <w:rPr>
      <w:sz w:val="18"/>
      <w:szCs w:val="18"/>
    </w:rPr>
  </w:style>
  <w:style w:type="character" w:customStyle="1" w:styleId="3Char">
    <w:name w:val="标题 3 Char"/>
    <w:basedOn w:val="a0"/>
    <w:link w:val="3"/>
    <w:uiPriority w:val="1"/>
    <w:rsid w:val="000B52FE"/>
    <w:rPr>
      <w:rFonts w:ascii="宋体" w:eastAsia="宋体" w:hAnsi="宋体" w:cs="宋体"/>
      <w:kern w:val="0"/>
      <w:sz w:val="24"/>
      <w:szCs w:val="24"/>
      <w:lang w:val="zh-CN" w:bidi="zh-CN"/>
    </w:rPr>
  </w:style>
  <w:style w:type="table" w:customStyle="1" w:styleId="TableNormal">
    <w:name w:val="Table Normal"/>
    <w:uiPriority w:val="2"/>
    <w:semiHidden/>
    <w:unhideWhenUsed/>
    <w:qFormat/>
    <w:rsid w:val="000B52F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0B52FE"/>
    <w:rPr>
      <w:sz w:val="21"/>
      <w:szCs w:val="21"/>
    </w:rPr>
  </w:style>
  <w:style w:type="character" w:customStyle="1" w:styleId="Char1">
    <w:name w:val="正文文本 Char"/>
    <w:basedOn w:val="a0"/>
    <w:link w:val="a5"/>
    <w:uiPriority w:val="1"/>
    <w:rsid w:val="000B52FE"/>
    <w:rPr>
      <w:rFonts w:ascii="宋体" w:eastAsia="宋体" w:hAnsi="宋体" w:cs="宋体"/>
      <w:kern w:val="0"/>
      <w:szCs w:val="21"/>
      <w:lang w:val="zh-CN" w:bidi="zh-CN"/>
    </w:rPr>
  </w:style>
  <w:style w:type="paragraph" w:customStyle="1" w:styleId="TableParagraph">
    <w:name w:val="Table Paragraph"/>
    <w:basedOn w:val="a"/>
    <w:uiPriority w:val="1"/>
    <w:qFormat/>
    <w:rsid w:val="000B52FE"/>
    <w:pPr>
      <w:spacing w:before="47"/>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52FE"/>
    <w:pPr>
      <w:widowControl w:val="0"/>
      <w:autoSpaceDE w:val="0"/>
      <w:autoSpaceDN w:val="0"/>
    </w:pPr>
    <w:rPr>
      <w:rFonts w:ascii="宋体" w:eastAsia="宋体" w:hAnsi="宋体" w:cs="宋体"/>
      <w:kern w:val="0"/>
      <w:sz w:val="22"/>
      <w:lang w:val="zh-CN" w:bidi="zh-CN"/>
    </w:rPr>
  </w:style>
  <w:style w:type="paragraph" w:styleId="3">
    <w:name w:val="heading 3"/>
    <w:basedOn w:val="a"/>
    <w:link w:val="3Char"/>
    <w:uiPriority w:val="1"/>
    <w:qFormat/>
    <w:rsid w:val="000B52FE"/>
    <w:pPr>
      <w:ind w:left="897"/>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2F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0B52FE"/>
    <w:rPr>
      <w:sz w:val="18"/>
      <w:szCs w:val="18"/>
    </w:rPr>
  </w:style>
  <w:style w:type="paragraph" w:styleId="a4">
    <w:name w:val="footer"/>
    <w:basedOn w:val="a"/>
    <w:link w:val="Char0"/>
    <w:uiPriority w:val="99"/>
    <w:unhideWhenUsed/>
    <w:rsid w:val="000B52FE"/>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0B52FE"/>
    <w:rPr>
      <w:sz w:val="18"/>
      <w:szCs w:val="18"/>
    </w:rPr>
  </w:style>
  <w:style w:type="character" w:customStyle="1" w:styleId="3Char">
    <w:name w:val="标题 3 Char"/>
    <w:basedOn w:val="a0"/>
    <w:link w:val="3"/>
    <w:uiPriority w:val="1"/>
    <w:rsid w:val="000B52FE"/>
    <w:rPr>
      <w:rFonts w:ascii="宋体" w:eastAsia="宋体" w:hAnsi="宋体" w:cs="宋体"/>
      <w:kern w:val="0"/>
      <w:sz w:val="24"/>
      <w:szCs w:val="24"/>
      <w:lang w:val="zh-CN" w:bidi="zh-CN"/>
    </w:rPr>
  </w:style>
  <w:style w:type="table" w:customStyle="1" w:styleId="TableNormal">
    <w:name w:val="Table Normal"/>
    <w:uiPriority w:val="2"/>
    <w:semiHidden/>
    <w:unhideWhenUsed/>
    <w:qFormat/>
    <w:rsid w:val="000B52F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0B52FE"/>
    <w:rPr>
      <w:sz w:val="21"/>
      <w:szCs w:val="21"/>
    </w:rPr>
  </w:style>
  <w:style w:type="character" w:customStyle="1" w:styleId="Char1">
    <w:name w:val="正文文本 Char"/>
    <w:basedOn w:val="a0"/>
    <w:link w:val="a5"/>
    <w:uiPriority w:val="1"/>
    <w:rsid w:val="000B52FE"/>
    <w:rPr>
      <w:rFonts w:ascii="宋体" w:eastAsia="宋体" w:hAnsi="宋体" w:cs="宋体"/>
      <w:kern w:val="0"/>
      <w:szCs w:val="21"/>
      <w:lang w:val="zh-CN" w:bidi="zh-CN"/>
    </w:rPr>
  </w:style>
  <w:style w:type="paragraph" w:customStyle="1" w:styleId="TableParagraph">
    <w:name w:val="Table Paragraph"/>
    <w:basedOn w:val="a"/>
    <w:uiPriority w:val="1"/>
    <w:qFormat/>
    <w:rsid w:val="000B52FE"/>
    <w:pPr>
      <w:spacing w:before="47"/>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CreditCN1106</dc:creator>
  <cp:keywords/>
  <dc:description/>
  <cp:lastModifiedBy>CreditCN1106</cp:lastModifiedBy>
  <cp:revision>2</cp:revision>
  <dcterms:created xsi:type="dcterms:W3CDTF">2021-09-06T05:25:00Z</dcterms:created>
  <dcterms:modified xsi:type="dcterms:W3CDTF">2021-09-06T05:25:00Z</dcterms:modified>
</cp:coreProperties>
</file>